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D2E" w:rsidRPr="00FE7357" w:rsidRDefault="00F23310" w:rsidP="00D83D2E">
      <w:pPr>
        <w:tabs>
          <w:tab w:val="left" w:pos="5103"/>
        </w:tabs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D83D2E">
        <w:rPr>
          <w:sz w:val="24"/>
          <w:szCs w:val="24"/>
        </w:rPr>
        <w:tab/>
      </w:r>
      <w:r w:rsidR="00D83D2E" w:rsidRPr="00FE7357">
        <w:rPr>
          <w:sz w:val="24"/>
          <w:szCs w:val="24"/>
        </w:rPr>
        <w:t>Załącznik Nr 2</w:t>
      </w:r>
    </w:p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 w:rsidRPr="00FE7357">
        <w:rPr>
          <w:sz w:val="24"/>
          <w:szCs w:val="24"/>
        </w:rPr>
        <w:tab/>
        <w:t xml:space="preserve">do uchwały Nr </w:t>
      </w:r>
    </w:p>
    <w:p w:rsidR="00D83D2E" w:rsidRDefault="00D83D2E" w:rsidP="00D83D2E">
      <w:pPr>
        <w:tabs>
          <w:tab w:val="left" w:pos="5103"/>
        </w:tabs>
        <w:rPr>
          <w:sz w:val="24"/>
          <w:szCs w:val="24"/>
        </w:rPr>
      </w:pPr>
      <w:r w:rsidRPr="00FE7357">
        <w:rPr>
          <w:sz w:val="24"/>
          <w:szCs w:val="24"/>
        </w:rPr>
        <w:tab/>
        <w:t xml:space="preserve">Rady Powiatu </w:t>
      </w:r>
      <w:r w:rsidR="00E517CE">
        <w:rPr>
          <w:sz w:val="24"/>
          <w:szCs w:val="24"/>
        </w:rPr>
        <w:t>w Goleniowie</w:t>
      </w:r>
    </w:p>
    <w:p w:rsidR="00E517CE" w:rsidRDefault="00E517CE" w:rsidP="00D83D2E">
      <w:pPr>
        <w:tabs>
          <w:tab w:val="left" w:pos="5103"/>
        </w:tabs>
      </w:pPr>
      <w:r>
        <w:rPr>
          <w:sz w:val="24"/>
          <w:szCs w:val="24"/>
        </w:rPr>
        <w:tab/>
        <w:t xml:space="preserve">z dnia </w:t>
      </w:r>
    </w:p>
    <w:p w:rsidR="00D83D2E" w:rsidRDefault="00D83D2E" w:rsidP="00D83D2E">
      <w:pPr>
        <w:tabs>
          <w:tab w:val="left" w:pos="5103"/>
        </w:tabs>
      </w:pPr>
    </w:p>
    <w:p w:rsidR="00D83D2E" w:rsidRDefault="00D83D2E" w:rsidP="00D83D2E">
      <w:pPr>
        <w:tabs>
          <w:tab w:val="left" w:pos="5103"/>
        </w:tabs>
      </w:pPr>
    </w:p>
    <w:p w:rsidR="00D83D2E" w:rsidRDefault="00D83D2E" w:rsidP="003D3571">
      <w:pPr>
        <w:pStyle w:val="Bodytekst"/>
        <w:spacing w:after="0" w:line="360" w:lineRule="auto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Objaśnienia przyjętych wartości w wieloletniej prognozie finansowej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Powiatu Goleniowskiego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 na lata 201</w:t>
      </w:r>
      <w:r w:rsidR="00AA01AE">
        <w:rPr>
          <w:rStyle w:val="Bold"/>
          <w:rFonts w:ascii="Times New Roman" w:hAnsi="Times New Roman" w:cs="Times New Roman"/>
          <w:bCs/>
          <w:sz w:val="24"/>
          <w:szCs w:val="24"/>
        </w:rPr>
        <w:t>6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20</w:t>
      </w:r>
      <w:r w:rsidR="008B7101">
        <w:rPr>
          <w:rStyle w:val="Bold"/>
          <w:rFonts w:ascii="Times New Roman" w:hAnsi="Times New Roman" w:cs="Times New Roman"/>
          <w:bCs/>
          <w:sz w:val="24"/>
          <w:szCs w:val="24"/>
        </w:rPr>
        <w:t>20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oraz prognozie kwoty długu na lata 201</w:t>
      </w:r>
      <w:r w:rsidR="00AA01AE">
        <w:rPr>
          <w:rStyle w:val="Bold"/>
          <w:rFonts w:ascii="Times New Roman" w:hAnsi="Times New Roman" w:cs="Times New Roman"/>
          <w:bCs/>
          <w:sz w:val="24"/>
          <w:szCs w:val="24"/>
        </w:rPr>
        <w:t>6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202</w:t>
      </w:r>
      <w:r w:rsidR="007B0A29">
        <w:rPr>
          <w:rStyle w:val="Bold"/>
          <w:rFonts w:ascii="Times New Roman" w:hAnsi="Times New Roman" w:cs="Times New Roman"/>
          <w:bCs/>
          <w:sz w:val="24"/>
          <w:szCs w:val="24"/>
        </w:rPr>
        <w:t>7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 – Zmiana wynikająca z 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projektu uchwały budżetowej na 201</w:t>
      </w:r>
      <w:r w:rsidR="00AA01AE">
        <w:rPr>
          <w:rStyle w:val="Bold"/>
          <w:rFonts w:ascii="Times New Roman" w:hAnsi="Times New Roman" w:cs="Times New Roman"/>
          <w:bCs/>
          <w:sz w:val="24"/>
          <w:szCs w:val="24"/>
        </w:rPr>
        <w:t>6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rok</w:t>
      </w:r>
    </w:p>
    <w:p w:rsidR="00AC23C5" w:rsidRPr="00AC23C5" w:rsidRDefault="00AC23C5" w:rsidP="003D3571">
      <w:pPr>
        <w:spacing w:line="360" w:lineRule="auto"/>
        <w:ind w:firstLine="0"/>
        <w:jc w:val="both"/>
        <w:rPr>
          <w:color w:val="000000"/>
          <w:sz w:val="24"/>
          <w:szCs w:val="24"/>
        </w:rPr>
      </w:pPr>
      <w:r w:rsidRPr="00AC23C5">
        <w:rPr>
          <w:color w:val="000000"/>
          <w:sz w:val="24"/>
          <w:szCs w:val="24"/>
        </w:rPr>
        <w:t xml:space="preserve">Wieloletnia Prognoza Finansowa </w:t>
      </w:r>
      <w:r>
        <w:rPr>
          <w:color w:val="000000"/>
          <w:sz w:val="24"/>
          <w:szCs w:val="24"/>
        </w:rPr>
        <w:t>Powiatu Goleniowskiego</w:t>
      </w:r>
      <w:r w:rsidRPr="00AC23C5">
        <w:rPr>
          <w:color w:val="000000"/>
          <w:sz w:val="24"/>
          <w:szCs w:val="24"/>
        </w:rPr>
        <w:t xml:space="preserve"> </w:t>
      </w:r>
      <w:r w:rsidR="008B7101">
        <w:rPr>
          <w:color w:val="000000"/>
          <w:sz w:val="24"/>
          <w:szCs w:val="24"/>
        </w:rPr>
        <w:t>obejmuje</w:t>
      </w:r>
      <w:r w:rsidRPr="00AC23C5">
        <w:rPr>
          <w:color w:val="000000"/>
          <w:sz w:val="24"/>
          <w:szCs w:val="24"/>
        </w:rPr>
        <w:t xml:space="preserve"> lata 201</w:t>
      </w:r>
      <w:r w:rsidR="00AA01AE">
        <w:rPr>
          <w:color w:val="000000"/>
          <w:sz w:val="24"/>
          <w:szCs w:val="24"/>
        </w:rPr>
        <w:t>6</w:t>
      </w:r>
      <w:r w:rsidRPr="00AC23C5">
        <w:rPr>
          <w:color w:val="000000"/>
          <w:sz w:val="24"/>
          <w:szCs w:val="24"/>
        </w:rPr>
        <w:t xml:space="preserve"> –202</w:t>
      </w:r>
      <w:r>
        <w:rPr>
          <w:color w:val="000000"/>
          <w:sz w:val="24"/>
          <w:szCs w:val="24"/>
        </w:rPr>
        <w:t>7</w:t>
      </w:r>
      <w:r w:rsidRPr="00AC23C5">
        <w:rPr>
          <w:color w:val="000000"/>
          <w:sz w:val="24"/>
          <w:szCs w:val="24"/>
        </w:rPr>
        <w:t>. Długość okresu objętego prognozą wynika z art.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>227 Ustawy z dnia 27 sierpnia 2009</w:t>
      </w:r>
      <w:r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 xml:space="preserve">roku </w:t>
      </w:r>
      <w:r w:rsidR="00CF254C">
        <w:rPr>
          <w:color w:val="000000"/>
          <w:sz w:val="24"/>
          <w:szCs w:val="24"/>
        </w:rPr>
        <w:br/>
      </w:r>
      <w:r w:rsidRPr="00AC23C5">
        <w:rPr>
          <w:color w:val="000000"/>
          <w:sz w:val="24"/>
          <w:szCs w:val="24"/>
        </w:rPr>
        <w:t xml:space="preserve">o finansach publicznych </w:t>
      </w:r>
      <w:r w:rsidR="007B0A29" w:rsidRPr="007B0A29">
        <w:rPr>
          <w:color w:val="000000"/>
          <w:sz w:val="24"/>
          <w:szCs w:val="24"/>
        </w:rPr>
        <w:t>(Dz. U.  z 2013 r. poz. 885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 xml:space="preserve">z </w:t>
      </w:r>
      <w:proofErr w:type="spellStart"/>
      <w:r w:rsidRPr="00AC23C5">
        <w:rPr>
          <w:color w:val="000000"/>
          <w:sz w:val="24"/>
          <w:szCs w:val="24"/>
        </w:rPr>
        <w:t>późn</w:t>
      </w:r>
      <w:proofErr w:type="spellEnd"/>
      <w:r w:rsidRPr="00AC23C5">
        <w:rPr>
          <w:color w:val="000000"/>
          <w:sz w:val="24"/>
          <w:szCs w:val="24"/>
        </w:rPr>
        <w:t>. zm</w:t>
      </w:r>
      <w:r w:rsidR="00BA1061">
        <w:rPr>
          <w:color w:val="000000"/>
          <w:sz w:val="24"/>
          <w:szCs w:val="24"/>
        </w:rPr>
        <w:t>.</w:t>
      </w:r>
      <w:r w:rsidR="00BA1061" w:rsidRPr="00AC23C5">
        <w:rPr>
          <w:color w:val="000000"/>
          <w:sz w:val="24"/>
          <w:szCs w:val="24"/>
        </w:rPr>
        <w:t>)</w:t>
      </w:r>
      <w:r w:rsidR="00BA1061">
        <w:rPr>
          <w:color w:val="000000"/>
          <w:sz w:val="24"/>
          <w:szCs w:val="24"/>
        </w:rPr>
        <w:t xml:space="preserve"> . Z</w:t>
      </w:r>
      <w:r w:rsidRPr="00AC23C5">
        <w:rPr>
          <w:color w:val="000000"/>
          <w:sz w:val="24"/>
          <w:szCs w:val="24"/>
        </w:rPr>
        <w:t xml:space="preserve"> brzmienia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 xml:space="preserve">przepisu wynika, że prognozę należy sporządzić </w:t>
      </w:r>
      <w:r w:rsidR="003F5C25" w:rsidRPr="003F5C25">
        <w:rPr>
          <w:color w:val="000000"/>
          <w:sz w:val="24"/>
          <w:szCs w:val="24"/>
        </w:rPr>
        <w:t>na okres roku budżetowego oraz co</w:t>
      </w:r>
      <w:r w:rsidR="003F5C25">
        <w:rPr>
          <w:color w:val="000000"/>
          <w:sz w:val="24"/>
          <w:szCs w:val="24"/>
        </w:rPr>
        <w:t xml:space="preserve"> </w:t>
      </w:r>
      <w:r w:rsidR="003F5C25" w:rsidRPr="003F5C25">
        <w:rPr>
          <w:color w:val="000000"/>
          <w:sz w:val="24"/>
          <w:szCs w:val="24"/>
        </w:rPr>
        <w:t>najmniej trzech kolejnych lat budżetowych</w:t>
      </w:r>
      <w:r w:rsidR="003F5C25">
        <w:rPr>
          <w:color w:val="000000"/>
          <w:sz w:val="24"/>
          <w:szCs w:val="24"/>
        </w:rPr>
        <w:t xml:space="preserve"> jednak okres objęty prognoz</w:t>
      </w:r>
      <w:r w:rsidR="00A278FC">
        <w:rPr>
          <w:color w:val="000000"/>
          <w:sz w:val="24"/>
          <w:szCs w:val="24"/>
        </w:rPr>
        <w:t>ą</w:t>
      </w:r>
      <w:r w:rsidR="003F5C25">
        <w:rPr>
          <w:color w:val="000000"/>
          <w:sz w:val="24"/>
          <w:szCs w:val="24"/>
        </w:rPr>
        <w:t xml:space="preserve"> nie może być </w:t>
      </w:r>
      <w:r w:rsidRPr="00AC23C5">
        <w:rPr>
          <w:color w:val="000000"/>
          <w:sz w:val="24"/>
          <w:szCs w:val="24"/>
        </w:rPr>
        <w:t xml:space="preserve">krótszy niż, </w:t>
      </w:r>
      <w:r w:rsidR="007B0A29" w:rsidRPr="00AC23C5">
        <w:rPr>
          <w:color w:val="000000"/>
          <w:sz w:val="24"/>
          <w:szCs w:val="24"/>
        </w:rPr>
        <w:t>okres, na jaki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>przyjęto limity wydatków dla przedsięwzięć</w:t>
      </w:r>
      <w:r w:rsidR="007B0A29">
        <w:rPr>
          <w:color w:val="000000"/>
          <w:sz w:val="24"/>
          <w:szCs w:val="24"/>
        </w:rPr>
        <w:t>, które dla Powiatu Goleniowskiego zostały zaplanowane do 20</w:t>
      </w:r>
      <w:r w:rsidR="008B7101">
        <w:rPr>
          <w:color w:val="000000"/>
          <w:sz w:val="24"/>
          <w:szCs w:val="24"/>
        </w:rPr>
        <w:t>20</w:t>
      </w:r>
      <w:r w:rsidR="007B0A29">
        <w:rPr>
          <w:color w:val="000000"/>
          <w:sz w:val="24"/>
          <w:szCs w:val="24"/>
        </w:rPr>
        <w:t xml:space="preserve"> roku. Prognoza kwoty długu dla Powiatu Goleniowskiego stanowiąca integralna część prognozy finansowej </w:t>
      </w:r>
      <w:r w:rsidRPr="00AC23C5">
        <w:rPr>
          <w:color w:val="000000"/>
          <w:sz w:val="24"/>
          <w:szCs w:val="24"/>
        </w:rPr>
        <w:t>została sporządzona na lata 201</w:t>
      </w:r>
      <w:r w:rsidR="00AA01AE">
        <w:rPr>
          <w:color w:val="000000"/>
          <w:sz w:val="24"/>
          <w:szCs w:val="24"/>
        </w:rPr>
        <w:t>6</w:t>
      </w:r>
      <w:r w:rsidR="007B0A29">
        <w:rPr>
          <w:color w:val="000000"/>
          <w:sz w:val="24"/>
          <w:szCs w:val="24"/>
        </w:rPr>
        <w:t>-2027</w:t>
      </w:r>
      <w:r w:rsidRPr="00AC23C5">
        <w:rPr>
          <w:color w:val="000000"/>
          <w:sz w:val="24"/>
          <w:szCs w:val="24"/>
        </w:rPr>
        <w:t xml:space="preserve"> tj. do momentu całkowitej spłaty zaciągniętych </w:t>
      </w:r>
      <w:r w:rsidR="00CF254C">
        <w:rPr>
          <w:color w:val="000000"/>
          <w:sz w:val="24"/>
          <w:szCs w:val="24"/>
        </w:rPr>
        <w:br/>
      </w:r>
      <w:r w:rsidRPr="00AC23C5">
        <w:rPr>
          <w:color w:val="000000"/>
          <w:sz w:val="24"/>
          <w:szCs w:val="24"/>
        </w:rPr>
        <w:t>i planowanych do zaciągnięcia</w:t>
      </w:r>
      <w:r w:rsidR="007B0A29">
        <w:rPr>
          <w:color w:val="000000"/>
          <w:sz w:val="24"/>
          <w:szCs w:val="24"/>
        </w:rPr>
        <w:t xml:space="preserve"> </w:t>
      </w:r>
      <w:r w:rsidRPr="00AC23C5">
        <w:rPr>
          <w:color w:val="000000"/>
          <w:sz w:val="24"/>
          <w:szCs w:val="24"/>
        </w:rPr>
        <w:t xml:space="preserve">zobowiązań z tytułu kredytów i </w:t>
      </w:r>
      <w:r w:rsidR="007B0A29">
        <w:rPr>
          <w:color w:val="000000"/>
          <w:sz w:val="24"/>
          <w:szCs w:val="24"/>
        </w:rPr>
        <w:t>obligacji</w:t>
      </w:r>
      <w:r w:rsidRPr="00AC23C5">
        <w:rPr>
          <w:color w:val="000000"/>
          <w:sz w:val="24"/>
          <w:szCs w:val="24"/>
        </w:rPr>
        <w:t>.</w:t>
      </w:r>
    </w:p>
    <w:p w:rsidR="00D83D2E" w:rsidRPr="00011964" w:rsidRDefault="00D83D2E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I. Dochody budżetowe</w:t>
      </w:r>
    </w:p>
    <w:p w:rsidR="00BA1061" w:rsidRPr="00BA1061" w:rsidRDefault="00D83D2E" w:rsidP="003D3571">
      <w:pPr>
        <w:pStyle w:val="Bodytekst"/>
        <w:spacing w:after="0" w:line="360" w:lineRule="auto"/>
        <w:rPr>
          <w:sz w:val="24"/>
          <w:szCs w:val="24"/>
        </w:rPr>
      </w:pPr>
      <w:r w:rsidRPr="00FE7357">
        <w:rPr>
          <w:rFonts w:ascii="Times New Roman" w:hAnsi="Times New Roman" w:cs="Times New Roman"/>
          <w:sz w:val="24"/>
          <w:szCs w:val="24"/>
        </w:rPr>
        <w:t>W prezentowanej uchwale dokonano zmian w planie dochodów w związku z przygotowaniem projektu uchwały budżetowej na rok 201</w:t>
      </w:r>
      <w:r w:rsidR="00AA01AE">
        <w:rPr>
          <w:rFonts w:ascii="Times New Roman" w:hAnsi="Times New Roman" w:cs="Times New Roman"/>
          <w:sz w:val="24"/>
          <w:szCs w:val="24"/>
        </w:rPr>
        <w:t>6</w:t>
      </w:r>
      <w:r w:rsidRPr="00FE7357">
        <w:rPr>
          <w:rFonts w:ascii="Times New Roman" w:hAnsi="Times New Roman" w:cs="Times New Roman"/>
          <w:sz w:val="24"/>
          <w:szCs w:val="24"/>
        </w:rPr>
        <w:t xml:space="preserve"> i koniecznością dostosowania ich poziomu do wielkości przyjętych w w/w uchwale.  Dochody zaplanowano na kwotę </w:t>
      </w:r>
      <w:r w:rsidR="007B0A29">
        <w:rPr>
          <w:rFonts w:ascii="Times New Roman" w:hAnsi="Times New Roman" w:cs="Times New Roman"/>
          <w:sz w:val="24"/>
          <w:szCs w:val="24"/>
        </w:rPr>
        <w:t>7</w:t>
      </w:r>
      <w:r w:rsidR="00AA01AE">
        <w:rPr>
          <w:rFonts w:ascii="Times New Roman" w:hAnsi="Times New Roman" w:cs="Times New Roman"/>
          <w:sz w:val="24"/>
          <w:szCs w:val="24"/>
        </w:rPr>
        <w:t>6.752.402</w:t>
      </w:r>
      <w:r w:rsidRPr="0091576C">
        <w:rPr>
          <w:rFonts w:ascii="Times New Roman" w:hAnsi="Times New Roman" w:cs="Times New Roman"/>
          <w:sz w:val="24"/>
          <w:szCs w:val="24"/>
        </w:rPr>
        <w:t xml:space="preserve"> </w:t>
      </w:r>
      <w:r w:rsidRPr="00FE7357">
        <w:rPr>
          <w:rFonts w:ascii="Times New Roman" w:hAnsi="Times New Roman" w:cs="Times New Roman"/>
          <w:sz w:val="24"/>
          <w:szCs w:val="24"/>
        </w:rPr>
        <w:t xml:space="preserve"> zł z tego dochody bieżące </w:t>
      </w:r>
      <w:r w:rsidR="00BA1061">
        <w:rPr>
          <w:rFonts w:ascii="Times New Roman" w:hAnsi="Times New Roman" w:cs="Times New Roman"/>
          <w:sz w:val="24"/>
          <w:szCs w:val="24"/>
        </w:rPr>
        <w:t>7</w:t>
      </w:r>
      <w:r w:rsidR="00AA01AE">
        <w:rPr>
          <w:rFonts w:ascii="Times New Roman" w:hAnsi="Times New Roman" w:cs="Times New Roman"/>
          <w:sz w:val="24"/>
          <w:szCs w:val="24"/>
        </w:rPr>
        <w:t>6.302.402</w:t>
      </w:r>
      <w:r w:rsidR="00BA1061">
        <w:rPr>
          <w:rFonts w:ascii="Times New Roman" w:hAnsi="Times New Roman" w:cs="Times New Roman"/>
          <w:sz w:val="24"/>
          <w:szCs w:val="24"/>
        </w:rPr>
        <w:t xml:space="preserve"> </w:t>
      </w:r>
      <w:r w:rsidRPr="00FE7357">
        <w:rPr>
          <w:rFonts w:ascii="Times New Roman" w:hAnsi="Times New Roman" w:cs="Times New Roman"/>
          <w:sz w:val="24"/>
          <w:szCs w:val="24"/>
        </w:rPr>
        <w:t>zł</w:t>
      </w:r>
      <w:r w:rsidR="00BA1061">
        <w:rPr>
          <w:rFonts w:ascii="Times New Roman" w:hAnsi="Times New Roman" w:cs="Times New Roman"/>
          <w:sz w:val="24"/>
          <w:szCs w:val="24"/>
        </w:rPr>
        <w:t>,</w:t>
      </w:r>
      <w:r w:rsidRPr="00FE7357">
        <w:rPr>
          <w:rFonts w:ascii="Times New Roman" w:hAnsi="Times New Roman" w:cs="Times New Roman"/>
          <w:sz w:val="24"/>
          <w:szCs w:val="24"/>
        </w:rPr>
        <w:t xml:space="preserve"> a dochody majątkowe </w:t>
      </w:r>
      <w:r w:rsidR="00AA01AE">
        <w:rPr>
          <w:rFonts w:ascii="Times New Roman" w:hAnsi="Times New Roman" w:cs="Times New Roman"/>
          <w:sz w:val="24"/>
          <w:szCs w:val="24"/>
        </w:rPr>
        <w:t>4</w:t>
      </w:r>
      <w:r w:rsidR="00BA1061">
        <w:rPr>
          <w:rFonts w:ascii="Times New Roman" w:hAnsi="Times New Roman" w:cs="Times New Roman"/>
          <w:sz w:val="24"/>
          <w:szCs w:val="24"/>
        </w:rPr>
        <w:t>50.000</w:t>
      </w:r>
      <w:r w:rsidRPr="0091576C">
        <w:rPr>
          <w:rFonts w:ascii="Times New Roman" w:hAnsi="Times New Roman" w:cs="Times New Roman"/>
          <w:sz w:val="24"/>
          <w:szCs w:val="24"/>
        </w:rPr>
        <w:t xml:space="preserve"> </w:t>
      </w:r>
      <w:r w:rsidRPr="00FE7357">
        <w:rPr>
          <w:rFonts w:ascii="Times New Roman" w:hAnsi="Times New Roman" w:cs="Times New Roman"/>
          <w:sz w:val="24"/>
          <w:szCs w:val="24"/>
        </w:rPr>
        <w:t>zł w</w:t>
      </w:r>
      <w:r w:rsidR="00BA1061">
        <w:rPr>
          <w:rFonts w:ascii="Times New Roman" w:hAnsi="Times New Roman" w:cs="Times New Roman"/>
          <w:sz w:val="24"/>
          <w:szCs w:val="24"/>
        </w:rPr>
        <w:t xml:space="preserve"> całości planowane do uzyskania ze </w:t>
      </w:r>
      <w:r w:rsidRPr="00FE7357">
        <w:rPr>
          <w:rFonts w:ascii="Times New Roman" w:hAnsi="Times New Roman" w:cs="Times New Roman"/>
          <w:sz w:val="24"/>
          <w:szCs w:val="24"/>
        </w:rPr>
        <w:t>sprzedaży majątku</w:t>
      </w:r>
      <w:r w:rsidR="00BA1061">
        <w:rPr>
          <w:rFonts w:ascii="Times New Roman" w:hAnsi="Times New Roman" w:cs="Times New Roman"/>
          <w:sz w:val="24"/>
          <w:szCs w:val="24"/>
        </w:rPr>
        <w:t>.</w:t>
      </w:r>
      <w:r w:rsidRPr="00FE7357">
        <w:rPr>
          <w:rFonts w:ascii="Times New Roman" w:hAnsi="Times New Roman" w:cs="Times New Roman"/>
          <w:sz w:val="24"/>
          <w:szCs w:val="24"/>
        </w:rPr>
        <w:t xml:space="preserve"> </w:t>
      </w:r>
      <w:r w:rsidR="00823E6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rognozę dochodów </w:t>
      </w:r>
      <w:r w:rsidR="00823E6B">
        <w:rPr>
          <w:rFonts w:ascii="Times New Roman" w:hAnsi="Times New Roman" w:cs="Times New Roman"/>
          <w:sz w:val="24"/>
          <w:szCs w:val="24"/>
        </w:rPr>
        <w:t xml:space="preserve">bieżących </w:t>
      </w:r>
      <w:r>
        <w:rPr>
          <w:rFonts w:ascii="Times New Roman" w:hAnsi="Times New Roman" w:cs="Times New Roman"/>
          <w:sz w:val="24"/>
          <w:szCs w:val="24"/>
        </w:rPr>
        <w:t xml:space="preserve">na lata przyszłe urealniono do wielkości wynikających </w:t>
      </w:r>
      <w:r w:rsidR="00CF254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danych historycznych i założono dynamikę wzrostu</w:t>
      </w:r>
      <w:r w:rsidR="00BA1061">
        <w:rPr>
          <w:rFonts w:ascii="Times New Roman" w:hAnsi="Times New Roman" w:cs="Times New Roman"/>
          <w:sz w:val="24"/>
          <w:szCs w:val="24"/>
        </w:rPr>
        <w:t xml:space="preserve"> dochodów bieżących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1061">
        <w:rPr>
          <w:rFonts w:ascii="Times New Roman" w:hAnsi="Times New Roman" w:cs="Times New Roman"/>
          <w:sz w:val="24"/>
          <w:szCs w:val="24"/>
        </w:rPr>
        <w:t>od 201</w:t>
      </w:r>
      <w:r w:rsidR="006D74AD">
        <w:rPr>
          <w:rFonts w:ascii="Times New Roman" w:hAnsi="Times New Roman" w:cs="Times New Roman"/>
          <w:sz w:val="24"/>
          <w:szCs w:val="24"/>
        </w:rPr>
        <w:t>7</w:t>
      </w:r>
      <w:r w:rsidR="00BA1061">
        <w:rPr>
          <w:rFonts w:ascii="Times New Roman" w:hAnsi="Times New Roman" w:cs="Times New Roman"/>
          <w:sz w:val="24"/>
          <w:szCs w:val="24"/>
        </w:rPr>
        <w:t xml:space="preserve"> roku </w:t>
      </w:r>
      <w:r>
        <w:rPr>
          <w:rFonts w:ascii="Times New Roman" w:hAnsi="Times New Roman" w:cs="Times New Roman"/>
          <w:sz w:val="24"/>
          <w:szCs w:val="24"/>
        </w:rPr>
        <w:t xml:space="preserve">na poziomie </w:t>
      </w:r>
      <w:r w:rsidR="00BA1061">
        <w:rPr>
          <w:rFonts w:ascii="Times New Roman" w:hAnsi="Times New Roman" w:cs="Times New Roman"/>
          <w:sz w:val="24"/>
          <w:szCs w:val="24"/>
        </w:rPr>
        <w:t>1,5</w:t>
      </w:r>
      <w:r>
        <w:rPr>
          <w:rFonts w:ascii="Times New Roman" w:hAnsi="Times New Roman" w:cs="Times New Roman"/>
          <w:sz w:val="24"/>
          <w:szCs w:val="24"/>
        </w:rPr>
        <w:t>%.</w:t>
      </w:r>
      <w:r w:rsidR="00BA1061" w:rsidRPr="00BA1061">
        <w:t xml:space="preserve"> </w:t>
      </w:r>
      <w:r w:rsidR="00BA1061" w:rsidRPr="00BA1061">
        <w:rPr>
          <w:sz w:val="24"/>
          <w:szCs w:val="24"/>
        </w:rPr>
        <w:t>W zakresie dochodów majątkowych wykazano w latach 201</w:t>
      </w:r>
      <w:r w:rsidR="006D74AD">
        <w:rPr>
          <w:sz w:val="24"/>
          <w:szCs w:val="24"/>
        </w:rPr>
        <w:t>7</w:t>
      </w:r>
      <w:r w:rsidR="00BA1061" w:rsidRPr="00BA1061">
        <w:rPr>
          <w:sz w:val="24"/>
          <w:szCs w:val="24"/>
        </w:rPr>
        <w:t>- 20</w:t>
      </w:r>
      <w:r w:rsidR="00823E6B">
        <w:rPr>
          <w:sz w:val="24"/>
          <w:szCs w:val="24"/>
        </w:rPr>
        <w:t>27</w:t>
      </w:r>
      <w:r w:rsidR="00BA1061" w:rsidRPr="00BA1061">
        <w:rPr>
          <w:sz w:val="24"/>
          <w:szCs w:val="24"/>
        </w:rPr>
        <w:t xml:space="preserve"> dochody </w:t>
      </w:r>
      <w:r w:rsidR="00CF254C">
        <w:rPr>
          <w:sz w:val="24"/>
          <w:szCs w:val="24"/>
        </w:rPr>
        <w:br/>
      </w:r>
      <w:r w:rsidR="00BA1061" w:rsidRPr="00BA1061">
        <w:rPr>
          <w:sz w:val="24"/>
          <w:szCs w:val="24"/>
        </w:rPr>
        <w:t>z tytułu</w:t>
      </w:r>
      <w:r w:rsidR="00823E6B">
        <w:rPr>
          <w:sz w:val="24"/>
          <w:szCs w:val="24"/>
        </w:rPr>
        <w:t xml:space="preserve"> ewentualnej sprzedaży majątku oraz planowanych do uzyskania </w:t>
      </w:r>
      <w:r w:rsidR="00BA1061" w:rsidRPr="00BA1061">
        <w:rPr>
          <w:sz w:val="24"/>
          <w:szCs w:val="24"/>
        </w:rPr>
        <w:t>dotacji na zadania inwestycyjne (</w:t>
      </w:r>
      <w:r w:rsidR="00823E6B">
        <w:rPr>
          <w:sz w:val="24"/>
          <w:szCs w:val="24"/>
        </w:rPr>
        <w:t>głównie na modernizację dróg powiatowych)</w:t>
      </w:r>
    </w:p>
    <w:p w:rsidR="00D83D2E" w:rsidRPr="00011964" w:rsidRDefault="00D83D2E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II. Wydatki budżetowe</w:t>
      </w:r>
    </w:p>
    <w:p w:rsidR="00C71274" w:rsidRDefault="00D83D2E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29F1">
        <w:rPr>
          <w:rFonts w:ascii="Times New Roman" w:hAnsi="Times New Roman" w:cs="Times New Roman"/>
          <w:sz w:val="24"/>
          <w:szCs w:val="24"/>
        </w:rPr>
        <w:t xml:space="preserve">Poziom wydatków został również dostosowany do </w:t>
      </w:r>
      <w:r w:rsidR="00A278FC">
        <w:rPr>
          <w:rFonts w:ascii="Times New Roman" w:hAnsi="Times New Roman" w:cs="Times New Roman"/>
          <w:sz w:val="24"/>
          <w:szCs w:val="24"/>
        </w:rPr>
        <w:t>p</w:t>
      </w:r>
      <w:r w:rsidRPr="002529F1">
        <w:rPr>
          <w:rFonts w:ascii="Times New Roman" w:hAnsi="Times New Roman" w:cs="Times New Roman"/>
          <w:sz w:val="24"/>
          <w:szCs w:val="24"/>
        </w:rPr>
        <w:t xml:space="preserve">rojektu </w:t>
      </w:r>
      <w:r w:rsidR="00A278FC">
        <w:rPr>
          <w:rFonts w:ascii="Times New Roman" w:hAnsi="Times New Roman" w:cs="Times New Roman"/>
          <w:sz w:val="24"/>
          <w:szCs w:val="24"/>
        </w:rPr>
        <w:t>u</w:t>
      </w:r>
      <w:r w:rsidRPr="002529F1">
        <w:rPr>
          <w:rFonts w:ascii="Times New Roman" w:hAnsi="Times New Roman" w:cs="Times New Roman"/>
          <w:sz w:val="24"/>
          <w:szCs w:val="24"/>
        </w:rPr>
        <w:t>chwały budżetowej na 201</w:t>
      </w:r>
      <w:r w:rsidR="006D74AD">
        <w:rPr>
          <w:rFonts w:ascii="Times New Roman" w:hAnsi="Times New Roman" w:cs="Times New Roman"/>
          <w:sz w:val="24"/>
          <w:szCs w:val="24"/>
        </w:rPr>
        <w:t>6</w:t>
      </w:r>
      <w:r w:rsidRPr="002529F1">
        <w:rPr>
          <w:rFonts w:ascii="Times New Roman" w:hAnsi="Times New Roman" w:cs="Times New Roman"/>
          <w:sz w:val="24"/>
          <w:szCs w:val="24"/>
        </w:rPr>
        <w:t xml:space="preserve"> rok i ich wysokość ogółem została ustalona na kwotę </w:t>
      </w:r>
      <w:r w:rsidR="006D74AD">
        <w:rPr>
          <w:rFonts w:ascii="Times New Roman" w:hAnsi="Times New Roman" w:cs="Times New Roman"/>
          <w:sz w:val="24"/>
          <w:szCs w:val="24"/>
        </w:rPr>
        <w:t>80.375.673</w:t>
      </w:r>
      <w:r w:rsidRPr="00994F15">
        <w:rPr>
          <w:rFonts w:ascii="Times New Roman" w:hAnsi="Times New Roman" w:cs="Times New Roman"/>
          <w:sz w:val="24"/>
          <w:szCs w:val="24"/>
        </w:rPr>
        <w:t xml:space="preserve"> </w:t>
      </w:r>
      <w:r w:rsidRPr="002529F1">
        <w:rPr>
          <w:rFonts w:ascii="Times New Roman" w:hAnsi="Times New Roman" w:cs="Times New Roman"/>
          <w:sz w:val="24"/>
          <w:szCs w:val="24"/>
        </w:rPr>
        <w:t xml:space="preserve">zł z tego wydatki bieżące na kwotę </w:t>
      </w:r>
      <w:r w:rsidR="00823E6B">
        <w:rPr>
          <w:rFonts w:ascii="Times New Roman" w:hAnsi="Times New Roman" w:cs="Times New Roman"/>
          <w:sz w:val="24"/>
          <w:szCs w:val="24"/>
        </w:rPr>
        <w:t>7</w:t>
      </w:r>
      <w:r w:rsidR="006D74AD">
        <w:rPr>
          <w:rFonts w:ascii="Times New Roman" w:hAnsi="Times New Roman" w:cs="Times New Roman"/>
          <w:sz w:val="24"/>
          <w:szCs w:val="24"/>
        </w:rPr>
        <w:t>2.265.149</w:t>
      </w:r>
      <w:r w:rsidRPr="00994F15">
        <w:rPr>
          <w:rFonts w:ascii="Times New Roman" w:hAnsi="Times New Roman" w:cs="Times New Roman"/>
          <w:sz w:val="24"/>
          <w:szCs w:val="24"/>
        </w:rPr>
        <w:t xml:space="preserve"> </w:t>
      </w:r>
      <w:r w:rsidRPr="002529F1">
        <w:rPr>
          <w:rFonts w:ascii="Times New Roman" w:hAnsi="Times New Roman" w:cs="Times New Roman"/>
          <w:sz w:val="24"/>
          <w:szCs w:val="24"/>
        </w:rPr>
        <w:t xml:space="preserve">zł, </w:t>
      </w:r>
      <w:r w:rsidR="00823E6B">
        <w:rPr>
          <w:rFonts w:ascii="Times New Roman" w:hAnsi="Times New Roman" w:cs="Times New Roman"/>
          <w:sz w:val="24"/>
          <w:szCs w:val="24"/>
        </w:rPr>
        <w:t xml:space="preserve"> w tym </w:t>
      </w:r>
      <w:r w:rsidRPr="002529F1">
        <w:rPr>
          <w:rFonts w:ascii="Times New Roman" w:hAnsi="Times New Roman" w:cs="Times New Roman"/>
          <w:sz w:val="24"/>
          <w:szCs w:val="24"/>
        </w:rPr>
        <w:t>wydatki na obsługę dług</w:t>
      </w:r>
      <w:r w:rsidR="00823E6B">
        <w:rPr>
          <w:rFonts w:ascii="Times New Roman" w:hAnsi="Times New Roman" w:cs="Times New Roman"/>
          <w:sz w:val="24"/>
          <w:szCs w:val="24"/>
        </w:rPr>
        <w:t xml:space="preserve">u </w:t>
      </w:r>
      <w:r w:rsidR="00A278FC">
        <w:rPr>
          <w:rFonts w:ascii="Times New Roman" w:hAnsi="Times New Roman" w:cs="Times New Roman"/>
          <w:sz w:val="24"/>
          <w:szCs w:val="24"/>
        </w:rPr>
        <w:t>w kwocie</w:t>
      </w:r>
      <w:r w:rsidR="00823E6B">
        <w:rPr>
          <w:rFonts w:ascii="Times New Roman" w:hAnsi="Times New Roman" w:cs="Times New Roman"/>
          <w:sz w:val="24"/>
          <w:szCs w:val="24"/>
        </w:rPr>
        <w:t xml:space="preserve"> 1.</w:t>
      </w:r>
      <w:r w:rsidR="006D74AD">
        <w:rPr>
          <w:rFonts w:ascii="Times New Roman" w:hAnsi="Times New Roman" w:cs="Times New Roman"/>
          <w:sz w:val="24"/>
          <w:szCs w:val="24"/>
        </w:rPr>
        <w:t>000.000</w:t>
      </w:r>
      <w:r w:rsidR="00823E6B">
        <w:rPr>
          <w:rFonts w:ascii="Times New Roman" w:hAnsi="Times New Roman" w:cs="Times New Roman"/>
          <w:sz w:val="24"/>
          <w:szCs w:val="24"/>
        </w:rPr>
        <w:t xml:space="preserve"> </w:t>
      </w:r>
      <w:r w:rsidRPr="002529F1">
        <w:rPr>
          <w:rFonts w:ascii="Times New Roman" w:hAnsi="Times New Roman" w:cs="Times New Roman"/>
          <w:sz w:val="24"/>
          <w:szCs w:val="24"/>
        </w:rPr>
        <w:t>zł</w:t>
      </w:r>
      <w:r w:rsidR="00823E6B">
        <w:rPr>
          <w:rFonts w:ascii="Times New Roman" w:hAnsi="Times New Roman" w:cs="Times New Roman"/>
          <w:sz w:val="24"/>
          <w:szCs w:val="24"/>
        </w:rPr>
        <w:t>,</w:t>
      </w:r>
      <w:r w:rsidRPr="002529F1">
        <w:rPr>
          <w:rFonts w:ascii="Times New Roman" w:hAnsi="Times New Roman" w:cs="Times New Roman"/>
          <w:sz w:val="24"/>
          <w:szCs w:val="24"/>
        </w:rPr>
        <w:t xml:space="preserve"> a wydatki majątkowe na kwotę </w:t>
      </w:r>
      <w:r w:rsidR="006D74AD">
        <w:rPr>
          <w:rFonts w:ascii="Times New Roman" w:hAnsi="Times New Roman" w:cs="Times New Roman"/>
          <w:sz w:val="24"/>
          <w:szCs w:val="24"/>
        </w:rPr>
        <w:t xml:space="preserve">8.110.524 </w:t>
      </w:r>
      <w:r w:rsidRPr="002529F1">
        <w:rPr>
          <w:rFonts w:ascii="Times New Roman" w:hAnsi="Times New Roman" w:cs="Times New Roman"/>
          <w:sz w:val="24"/>
          <w:szCs w:val="24"/>
        </w:rPr>
        <w:t>zł.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1274" w:rsidRPr="00C71274">
        <w:rPr>
          <w:rFonts w:ascii="Times New Roman" w:hAnsi="Times New Roman" w:cs="Times New Roman"/>
          <w:sz w:val="24"/>
          <w:szCs w:val="24"/>
        </w:rPr>
        <w:t>Uśredniony wzrost wydatków bieżących w latach 201</w:t>
      </w:r>
      <w:r w:rsidR="006D74AD">
        <w:rPr>
          <w:rFonts w:ascii="Times New Roman" w:hAnsi="Times New Roman" w:cs="Times New Roman"/>
          <w:sz w:val="24"/>
          <w:szCs w:val="24"/>
        </w:rPr>
        <w:t>8</w:t>
      </w:r>
      <w:r w:rsidR="00C71274" w:rsidRPr="00C71274">
        <w:rPr>
          <w:rFonts w:ascii="Times New Roman" w:hAnsi="Times New Roman" w:cs="Times New Roman"/>
          <w:sz w:val="24"/>
          <w:szCs w:val="24"/>
        </w:rPr>
        <w:t>-20</w:t>
      </w:r>
      <w:r w:rsidR="00C71274">
        <w:rPr>
          <w:rFonts w:ascii="Times New Roman" w:hAnsi="Times New Roman" w:cs="Times New Roman"/>
          <w:sz w:val="24"/>
          <w:szCs w:val="24"/>
        </w:rPr>
        <w:t>27</w:t>
      </w:r>
      <w:r w:rsidR="00C71274" w:rsidRPr="00C71274">
        <w:rPr>
          <w:rFonts w:ascii="Times New Roman" w:hAnsi="Times New Roman" w:cs="Times New Roman"/>
          <w:sz w:val="24"/>
          <w:szCs w:val="24"/>
        </w:rPr>
        <w:t xml:space="preserve"> kształtuje się na poziomie</w:t>
      </w:r>
      <w:r w:rsidR="00C71274">
        <w:rPr>
          <w:rFonts w:ascii="Times New Roman" w:hAnsi="Times New Roman" w:cs="Times New Roman"/>
          <w:sz w:val="24"/>
          <w:szCs w:val="24"/>
        </w:rPr>
        <w:t xml:space="preserve"> 1,</w:t>
      </w:r>
      <w:r w:rsidR="006D74AD">
        <w:rPr>
          <w:rFonts w:ascii="Times New Roman" w:hAnsi="Times New Roman" w:cs="Times New Roman"/>
          <w:sz w:val="24"/>
          <w:szCs w:val="24"/>
        </w:rPr>
        <w:t>6</w:t>
      </w:r>
      <w:r w:rsidR="00C71274" w:rsidRPr="00C71274">
        <w:rPr>
          <w:rFonts w:ascii="Times New Roman" w:hAnsi="Times New Roman" w:cs="Times New Roman"/>
          <w:sz w:val="24"/>
          <w:szCs w:val="24"/>
        </w:rPr>
        <w:t>%. Jest to uzasadnione i powiązane z prognozowaną przez Ministerstwo Finansów inflacją. Ogólnie rzecz</w:t>
      </w:r>
      <w:r w:rsidR="00C71274">
        <w:rPr>
          <w:rFonts w:ascii="Times New Roman" w:hAnsi="Times New Roman" w:cs="Times New Roman"/>
          <w:sz w:val="24"/>
          <w:szCs w:val="24"/>
        </w:rPr>
        <w:t xml:space="preserve"> </w:t>
      </w:r>
      <w:r w:rsidR="00C71274" w:rsidRPr="00C71274">
        <w:rPr>
          <w:rFonts w:ascii="Times New Roman" w:hAnsi="Times New Roman" w:cs="Times New Roman"/>
          <w:sz w:val="24"/>
          <w:szCs w:val="24"/>
        </w:rPr>
        <w:t>ujmując, inflacja dotyczy wzrostu cen towarów i usług, w związku z tym istotnie wpływa na poziom wydatków, a</w:t>
      </w:r>
      <w:r w:rsidR="00C71274">
        <w:rPr>
          <w:rFonts w:ascii="Times New Roman" w:hAnsi="Times New Roman" w:cs="Times New Roman"/>
          <w:sz w:val="24"/>
          <w:szCs w:val="24"/>
        </w:rPr>
        <w:t xml:space="preserve"> </w:t>
      </w:r>
      <w:r w:rsidR="00C71274" w:rsidRPr="00C71274">
        <w:rPr>
          <w:rFonts w:ascii="Times New Roman" w:hAnsi="Times New Roman" w:cs="Times New Roman"/>
          <w:sz w:val="24"/>
          <w:szCs w:val="24"/>
        </w:rPr>
        <w:t>to z kolei powoduje, iż należy prognozować wzrost wydatków we wszystkich latach objętych WPF.</w:t>
      </w:r>
    </w:p>
    <w:p w:rsidR="00D83D2E" w:rsidRDefault="00823E6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3E6B">
        <w:rPr>
          <w:sz w:val="24"/>
          <w:szCs w:val="24"/>
        </w:rPr>
        <w:lastRenderedPageBreak/>
        <w:t xml:space="preserve">Pozycja „Wydatki związane z funkcjonowaniem organów </w:t>
      </w:r>
      <w:proofErr w:type="spellStart"/>
      <w:r w:rsidRPr="00823E6B">
        <w:rPr>
          <w:sz w:val="24"/>
          <w:szCs w:val="24"/>
        </w:rPr>
        <w:t>jst</w:t>
      </w:r>
      <w:proofErr w:type="spellEnd"/>
      <w:r w:rsidRPr="00823E6B">
        <w:rPr>
          <w:sz w:val="24"/>
          <w:szCs w:val="24"/>
        </w:rPr>
        <w:t>.” obejmuje wydatki</w:t>
      </w:r>
      <w:r>
        <w:rPr>
          <w:sz w:val="24"/>
          <w:szCs w:val="24"/>
        </w:rPr>
        <w:t xml:space="preserve"> </w:t>
      </w:r>
      <w:r w:rsidRPr="00823E6B">
        <w:rPr>
          <w:sz w:val="24"/>
          <w:szCs w:val="24"/>
        </w:rPr>
        <w:t>planowane w rozdziale 750</w:t>
      </w:r>
      <w:r>
        <w:rPr>
          <w:sz w:val="24"/>
          <w:szCs w:val="24"/>
        </w:rPr>
        <w:t>19</w:t>
      </w:r>
      <w:r w:rsidRPr="00823E6B">
        <w:rPr>
          <w:sz w:val="24"/>
          <w:szCs w:val="24"/>
        </w:rPr>
        <w:t xml:space="preserve"> „Rady </w:t>
      </w:r>
      <w:r>
        <w:rPr>
          <w:sz w:val="24"/>
          <w:szCs w:val="24"/>
        </w:rPr>
        <w:t>powiatów</w:t>
      </w:r>
      <w:r w:rsidRPr="00823E6B">
        <w:rPr>
          <w:sz w:val="24"/>
          <w:szCs w:val="24"/>
        </w:rPr>
        <w:t>” – oraz wydatki planowane w rozdziale 7502</w:t>
      </w:r>
      <w:r>
        <w:rPr>
          <w:sz w:val="24"/>
          <w:szCs w:val="24"/>
        </w:rPr>
        <w:t xml:space="preserve">0 </w:t>
      </w:r>
      <w:r w:rsidRPr="00823E6B">
        <w:rPr>
          <w:sz w:val="24"/>
          <w:szCs w:val="24"/>
        </w:rPr>
        <w:t>„</w:t>
      </w:r>
      <w:r w:rsidR="00417E23">
        <w:rPr>
          <w:sz w:val="24"/>
          <w:szCs w:val="24"/>
        </w:rPr>
        <w:t>Starostwa powiatowe".</w:t>
      </w:r>
    </w:p>
    <w:p w:rsidR="00D83D2E" w:rsidRPr="00011964" w:rsidRDefault="00D83D2E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III. Przychody</w:t>
      </w:r>
    </w:p>
    <w:p w:rsidR="000C7D41" w:rsidRPr="000C7D41" w:rsidRDefault="00D83D2E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29F1">
        <w:rPr>
          <w:rFonts w:ascii="Times New Roman" w:hAnsi="Times New Roman" w:cs="Times New Roman"/>
          <w:sz w:val="24"/>
          <w:szCs w:val="24"/>
        </w:rPr>
        <w:t>W załączniku Nr 1 do prezentowanej uchwały</w:t>
      </w:r>
      <w:r>
        <w:rPr>
          <w:rFonts w:ascii="Times New Roman" w:hAnsi="Times New Roman" w:cs="Times New Roman"/>
          <w:sz w:val="24"/>
          <w:szCs w:val="24"/>
        </w:rPr>
        <w:t xml:space="preserve"> w stosunku do poprzedniej prognozy </w:t>
      </w:r>
      <w:r w:rsidR="006D74AD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>uległa zmianie</w:t>
      </w:r>
      <w:r w:rsidRPr="00252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94F15">
        <w:rPr>
          <w:rFonts w:ascii="Times New Roman" w:hAnsi="Times New Roman" w:cs="Times New Roman"/>
          <w:sz w:val="24"/>
          <w:szCs w:val="24"/>
        </w:rPr>
        <w:t xml:space="preserve">ota </w:t>
      </w:r>
      <w:r w:rsidR="00417E23">
        <w:rPr>
          <w:rFonts w:ascii="Times New Roman" w:hAnsi="Times New Roman" w:cs="Times New Roman"/>
          <w:sz w:val="24"/>
          <w:szCs w:val="24"/>
        </w:rPr>
        <w:t>przychodów</w:t>
      </w:r>
      <w:r w:rsidR="0024397A">
        <w:rPr>
          <w:rFonts w:ascii="Times New Roman" w:hAnsi="Times New Roman" w:cs="Times New Roman"/>
          <w:sz w:val="24"/>
          <w:szCs w:val="24"/>
        </w:rPr>
        <w:t>, ponieważ kredyt planowany do zaciągnięcia w 2015 roku został przesunięty do uruchomienia na rok 2016</w:t>
      </w:r>
      <w:r w:rsidR="00C71274">
        <w:rPr>
          <w:rFonts w:ascii="Times New Roman" w:hAnsi="Times New Roman" w:cs="Times New Roman"/>
          <w:sz w:val="24"/>
          <w:szCs w:val="24"/>
        </w:rPr>
        <w:t xml:space="preserve">. </w:t>
      </w:r>
      <w:r w:rsidR="0024397A">
        <w:rPr>
          <w:rFonts w:ascii="Times New Roman" w:hAnsi="Times New Roman" w:cs="Times New Roman"/>
          <w:sz w:val="24"/>
          <w:szCs w:val="24"/>
        </w:rPr>
        <w:t>Kredyt planowany jest na</w:t>
      </w:r>
      <w:r w:rsidR="00F23310">
        <w:rPr>
          <w:rFonts w:ascii="Times New Roman" w:hAnsi="Times New Roman" w:cs="Times New Roman"/>
          <w:sz w:val="24"/>
          <w:szCs w:val="24"/>
        </w:rPr>
        <w:t xml:space="preserve"> pokrycie deficytu na wydatkach </w:t>
      </w:r>
      <w:r w:rsidR="00C71274">
        <w:rPr>
          <w:rFonts w:ascii="Times New Roman" w:hAnsi="Times New Roman" w:cs="Times New Roman"/>
          <w:sz w:val="24"/>
          <w:szCs w:val="24"/>
        </w:rPr>
        <w:t xml:space="preserve">inwestycyjnych. Spłata tego kredytu będzie następowała z dochodów bieżących Powiatu w </w:t>
      </w:r>
      <w:r w:rsidR="000C7D41">
        <w:rPr>
          <w:rFonts w:ascii="Times New Roman" w:hAnsi="Times New Roman" w:cs="Times New Roman"/>
          <w:sz w:val="24"/>
          <w:szCs w:val="24"/>
        </w:rPr>
        <w:t xml:space="preserve">okresie od </w:t>
      </w:r>
      <w:r w:rsidR="00C71274">
        <w:rPr>
          <w:rFonts w:ascii="Times New Roman" w:hAnsi="Times New Roman" w:cs="Times New Roman"/>
          <w:sz w:val="24"/>
          <w:szCs w:val="24"/>
        </w:rPr>
        <w:t>201</w:t>
      </w:r>
      <w:r w:rsidR="0024397A">
        <w:rPr>
          <w:rFonts w:ascii="Times New Roman" w:hAnsi="Times New Roman" w:cs="Times New Roman"/>
          <w:sz w:val="24"/>
          <w:szCs w:val="24"/>
        </w:rPr>
        <w:t>7</w:t>
      </w:r>
      <w:r w:rsidR="000C7D41">
        <w:rPr>
          <w:rFonts w:ascii="Times New Roman" w:hAnsi="Times New Roman" w:cs="Times New Roman"/>
          <w:sz w:val="24"/>
          <w:szCs w:val="24"/>
        </w:rPr>
        <w:t xml:space="preserve"> r.</w:t>
      </w:r>
      <w:r w:rsidR="00C71274">
        <w:rPr>
          <w:rFonts w:ascii="Times New Roman" w:hAnsi="Times New Roman" w:cs="Times New Roman"/>
          <w:sz w:val="24"/>
          <w:szCs w:val="24"/>
        </w:rPr>
        <w:t xml:space="preserve"> </w:t>
      </w:r>
      <w:r w:rsidR="000C7D41">
        <w:rPr>
          <w:rFonts w:ascii="Times New Roman" w:hAnsi="Times New Roman" w:cs="Times New Roman"/>
          <w:sz w:val="24"/>
          <w:szCs w:val="24"/>
        </w:rPr>
        <w:t>do</w:t>
      </w:r>
      <w:r w:rsidR="00C71274">
        <w:rPr>
          <w:rFonts w:ascii="Times New Roman" w:hAnsi="Times New Roman" w:cs="Times New Roman"/>
          <w:sz w:val="24"/>
          <w:szCs w:val="24"/>
        </w:rPr>
        <w:t xml:space="preserve"> 202</w:t>
      </w:r>
      <w:r w:rsidR="0024397A">
        <w:rPr>
          <w:rFonts w:ascii="Times New Roman" w:hAnsi="Times New Roman" w:cs="Times New Roman"/>
          <w:sz w:val="24"/>
          <w:szCs w:val="24"/>
        </w:rPr>
        <w:t>1</w:t>
      </w:r>
      <w:r w:rsidR="000C7D41">
        <w:rPr>
          <w:rFonts w:ascii="Times New Roman" w:hAnsi="Times New Roman" w:cs="Times New Roman"/>
          <w:sz w:val="24"/>
          <w:szCs w:val="24"/>
        </w:rPr>
        <w:t xml:space="preserve"> r. </w:t>
      </w:r>
      <w:r w:rsidR="000C7D41" w:rsidRPr="000C7D41">
        <w:rPr>
          <w:rFonts w:ascii="Times New Roman" w:hAnsi="Times New Roman" w:cs="Times New Roman"/>
          <w:sz w:val="24"/>
          <w:szCs w:val="24"/>
        </w:rPr>
        <w:t>Ponadto po stronie przychodów w 201</w:t>
      </w:r>
      <w:r w:rsidR="0024397A">
        <w:rPr>
          <w:rFonts w:ascii="Times New Roman" w:hAnsi="Times New Roman" w:cs="Times New Roman"/>
          <w:sz w:val="24"/>
          <w:szCs w:val="24"/>
        </w:rPr>
        <w:t>6</w:t>
      </w:r>
      <w:r w:rsidR="000C7D41" w:rsidRPr="000C7D41">
        <w:rPr>
          <w:rFonts w:ascii="Times New Roman" w:hAnsi="Times New Roman" w:cs="Times New Roman"/>
          <w:sz w:val="24"/>
          <w:szCs w:val="24"/>
        </w:rPr>
        <w:t xml:space="preserve"> </w:t>
      </w:r>
      <w:r w:rsidR="004422C0" w:rsidRPr="000C7D41">
        <w:rPr>
          <w:rFonts w:ascii="Times New Roman" w:hAnsi="Times New Roman" w:cs="Times New Roman"/>
          <w:sz w:val="24"/>
          <w:szCs w:val="24"/>
        </w:rPr>
        <w:t>roku, jako</w:t>
      </w:r>
      <w:r w:rsidR="000C7D41" w:rsidRPr="000C7D41">
        <w:rPr>
          <w:rFonts w:ascii="Times New Roman" w:hAnsi="Times New Roman" w:cs="Times New Roman"/>
          <w:sz w:val="24"/>
          <w:szCs w:val="24"/>
        </w:rPr>
        <w:t xml:space="preserve"> uzupełniające źródło finansowania inwestycji </w:t>
      </w:r>
      <w:r w:rsidR="00647D16" w:rsidRPr="000C7D41">
        <w:rPr>
          <w:rFonts w:ascii="Times New Roman" w:hAnsi="Times New Roman" w:cs="Times New Roman"/>
          <w:sz w:val="24"/>
          <w:szCs w:val="24"/>
        </w:rPr>
        <w:t>zaplanowano</w:t>
      </w:r>
      <w:r w:rsidR="00647D16" w:rsidRPr="00647D16">
        <w:t xml:space="preserve"> </w:t>
      </w:r>
      <w:r w:rsidR="00647D16">
        <w:t>kwotę</w:t>
      </w:r>
      <w:r w:rsidR="0024397A">
        <w:t xml:space="preserve"> </w:t>
      </w:r>
      <w:r w:rsidR="0024397A" w:rsidRPr="0024397A">
        <w:rPr>
          <w:rFonts w:ascii="Times New Roman" w:hAnsi="Times New Roman" w:cs="Times New Roman"/>
          <w:sz w:val="24"/>
          <w:szCs w:val="24"/>
        </w:rPr>
        <w:t>182.567</w:t>
      </w:r>
      <w:r w:rsidR="00647D16" w:rsidRPr="004422C0">
        <w:rPr>
          <w:rFonts w:ascii="Times New Roman" w:hAnsi="Times New Roman" w:cs="Times New Roman"/>
          <w:sz w:val="24"/>
          <w:szCs w:val="24"/>
        </w:rPr>
        <w:t xml:space="preserve"> zł</w:t>
      </w:r>
      <w:r w:rsidR="00647D16">
        <w:t xml:space="preserve"> </w:t>
      </w:r>
      <w:r w:rsidR="00647D16" w:rsidRPr="00647D16">
        <w:rPr>
          <w:rFonts w:ascii="Times New Roman" w:hAnsi="Times New Roman" w:cs="Times New Roman"/>
          <w:sz w:val="24"/>
          <w:szCs w:val="24"/>
        </w:rPr>
        <w:t>pochodząc</w:t>
      </w:r>
      <w:r w:rsidR="00647D16">
        <w:rPr>
          <w:rFonts w:ascii="Times New Roman" w:hAnsi="Times New Roman" w:cs="Times New Roman"/>
          <w:sz w:val="24"/>
          <w:szCs w:val="24"/>
        </w:rPr>
        <w:t>ą</w:t>
      </w:r>
      <w:r w:rsidR="00647D16" w:rsidRPr="00647D16">
        <w:rPr>
          <w:rFonts w:ascii="Times New Roman" w:hAnsi="Times New Roman" w:cs="Times New Roman"/>
          <w:sz w:val="24"/>
          <w:szCs w:val="24"/>
        </w:rPr>
        <w:t xml:space="preserve"> z wolnych środków, jako nadwyżki środków pieniężnych na rachunku bieżącym budżetu, wynikając</w:t>
      </w:r>
      <w:r w:rsidR="004422C0">
        <w:rPr>
          <w:rFonts w:ascii="Times New Roman" w:hAnsi="Times New Roman" w:cs="Times New Roman"/>
          <w:sz w:val="24"/>
          <w:szCs w:val="24"/>
        </w:rPr>
        <w:t>ą</w:t>
      </w:r>
      <w:r w:rsidR="00647D16" w:rsidRPr="00647D16">
        <w:rPr>
          <w:rFonts w:ascii="Times New Roman" w:hAnsi="Times New Roman" w:cs="Times New Roman"/>
          <w:sz w:val="24"/>
          <w:szCs w:val="24"/>
        </w:rPr>
        <w:t xml:space="preserve"> z rozliczeń z lat ubiegłych</w:t>
      </w:r>
      <w:r w:rsidR="004422C0">
        <w:rPr>
          <w:rFonts w:ascii="Times New Roman" w:hAnsi="Times New Roman" w:cs="Times New Roman"/>
          <w:sz w:val="24"/>
          <w:szCs w:val="24"/>
        </w:rPr>
        <w:t>.</w:t>
      </w:r>
      <w:r w:rsidR="0024397A" w:rsidRPr="0024397A">
        <w:t xml:space="preserve"> </w:t>
      </w:r>
    </w:p>
    <w:p w:rsidR="000C7D41" w:rsidRPr="00011964" w:rsidRDefault="000C7D41" w:rsidP="003D3571">
      <w:pPr>
        <w:pStyle w:val="Paragraph"/>
        <w:spacing w:after="0" w:line="36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</w:t>
      </w:r>
      <w:r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V</w:t>
      </w: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 xml:space="preserve">. </w:t>
      </w:r>
      <w:r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Rozchody</w:t>
      </w:r>
      <w:r w:rsidR="00D15B21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 xml:space="preserve"> i zadłużenie powiatu</w:t>
      </w:r>
    </w:p>
    <w:p w:rsidR="004422C0" w:rsidRPr="004422C0" w:rsidRDefault="004422C0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2C0">
        <w:rPr>
          <w:rFonts w:ascii="Times New Roman" w:hAnsi="Times New Roman" w:cs="Times New Roman"/>
          <w:sz w:val="24"/>
          <w:szCs w:val="24"/>
        </w:rPr>
        <w:t xml:space="preserve">Po stronie rozchodów w prognozowanym okresie przyjęto przepływy związane ze spłatą rat </w:t>
      </w:r>
      <w:r w:rsidR="00BA4749" w:rsidRPr="004422C0">
        <w:rPr>
          <w:rFonts w:ascii="Times New Roman" w:hAnsi="Times New Roman" w:cs="Times New Roman"/>
          <w:sz w:val="24"/>
          <w:szCs w:val="24"/>
        </w:rPr>
        <w:t>kapitałowych</w:t>
      </w:r>
      <w:r w:rsidR="00BA4749">
        <w:rPr>
          <w:rFonts w:ascii="Times New Roman" w:hAnsi="Times New Roman" w:cs="Times New Roman"/>
          <w:sz w:val="24"/>
          <w:szCs w:val="24"/>
        </w:rPr>
        <w:t xml:space="preserve"> od </w:t>
      </w:r>
      <w:r w:rsidRPr="004422C0">
        <w:rPr>
          <w:rFonts w:ascii="Times New Roman" w:hAnsi="Times New Roman" w:cs="Times New Roman"/>
          <w:sz w:val="24"/>
          <w:szCs w:val="24"/>
        </w:rPr>
        <w:t xml:space="preserve">zaciągniętych kredytów i </w:t>
      </w:r>
      <w:r>
        <w:rPr>
          <w:rFonts w:ascii="Times New Roman" w:hAnsi="Times New Roman" w:cs="Times New Roman"/>
          <w:sz w:val="24"/>
          <w:szCs w:val="24"/>
        </w:rPr>
        <w:t>obligacji</w:t>
      </w:r>
      <w:r w:rsidRPr="004422C0">
        <w:rPr>
          <w:rFonts w:ascii="Times New Roman" w:hAnsi="Times New Roman" w:cs="Times New Roman"/>
          <w:sz w:val="24"/>
          <w:szCs w:val="24"/>
        </w:rPr>
        <w:t>. Spłatę ostatnich rat kapitałowych zaplanowano na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422C0">
        <w:rPr>
          <w:rFonts w:ascii="Times New Roman" w:hAnsi="Times New Roman" w:cs="Times New Roman"/>
          <w:sz w:val="24"/>
          <w:szCs w:val="24"/>
        </w:rPr>
        <w:t>r. Kwota zadłużenia na koniec 201</w:t>
      </w:r>
      <w:r w:rsidR="000B3AAF">
        <w:rPr>
          <w:rFonts w:ascii="Times New Roman" w:hAnsi="Times New Roman" w:cs="Times New Roman"/>
          <w:sz w:val="24"/>
          <w:szCs w:val="24"/>
        </w:rPr>
        <w:t>5</w:t>
      </w:r>
      <w:r w:rsidRPr="004422C0">
        <w:rPr>
          <w:rFonts w:ascii="Times New Roman" w:hAnsi="Times New Roman" w:cs="Times New Roman"/>
          <w:sz w:val="24"/>
          <w:szCs w:val="24"/>
        </w:rPr>
        <w:t xml:space="preserve"> roku wyniesie </w:t>
      </w:r>
      <w:r w:rsidR="00BA4749">
        <w:rPr>
          <w:rFonts w:ascii="Times New Roman" w:hAnsi="Times New Roman" w:cs="Times New Roman"/>
          <w:sz w:val="24"/>
          <w:szCs w:val="24"/>
        </w:rPr>
        <w:t>2</w:t>
      </w:r>
      <w:r w:rsidR="00357ADA">
        <w:rPr>
          <w:rFonts w:ascii="Times New Roman" w:hAnsi="Times New Roman" w:cs="Times New Roman"/>
          <w:sz w:val="24"/>
          <w:szCs w:val="24"/>
        </w:rPr>
        <w:t>3.725.020</w:t>
      </w:r>
      <w:r w:rsidRPr="004422C0">
        <w:rPr>
          <w:rFonts w:ascii="Times New Roman" w:hAnsi="Times New Roman" w:cs="Times New Roman"/>
          <w:sz w:val="24"/>
          <w:szCs w:val="24"/>
        </w:rPr>
        <w:t xml:space="preserve"> zł. Planowane zadłużenie na koniec 201</w:t>
      </w:r>
      <w:r w:rsidR="00357ADA">
        <w:rPr>
          <w:rFonts w:ascii="Times New Roman" w:hAnsi="Times New Roman" w:cs="Times New Roman"/>
          <w:sz w:val="24"/>
          <w:szCs w:val="24"/>
        </w:rPr>
        <w:t>6</w:t>
      </w:r>
      <w:r w:rsidRPr="004422C0">
        <w:rPr>
          <w:rFonts w:ascii="Times New Roman" w:hAnsi="Times New Roman" w:cs="Times New Roman"/>
          <w:sz w:val="24"/>
          <w:szCs w:val="24"/>
        </w:rPr>
        <w:t xml:space="preserve"> roku wyniesie </w:t>
      </w:r>
      <w:r w:rsidR="00BA4749">
        <w:rPr>
          <w:rFonts w:ascii="Times New Roman" w:hAnsi="Times New Roman" w:cs="Times New Roman"/>
          <w:sz w:val="24"/>
          <w:szCs w:val="24"/>
        </w:rPr>
        <w:t>2</w:t>
      </w:r>
      <w:r w:rsidR="00357ADA">
        <w:rPr>
          <w:rFonts w:ascii="Times New Roman" w:hAnsi="Times New Roman" w:cs="Times New Roman"/>
          <w:sz w:val="24"/>
          <w:szCs w:val="24"/>
        </w:rPr>
        <w:t>6.980.024</w:t>
      </w:r>
      <w:r w:rsidRPr="004422C0">
        <w:rPr>
          <w:rFonts w:ascii="Times New Roman" w:hAnsi="Times New Roman" w:cs="Times New Roman"/>
          <w:sz w:val="24"/>
          <w:szCs w:val="24"/>
        </w:rPr>
        <w:t xml:space="preserve"> zł.</w:t>
      </w:r>
      <w:r w:rsidR="00BA4749">
        <w:rPr>
          <w:rFonts w:ascii="Times New Roman" w:hAnsi="Times New Roman" w:cs="Times New Roman"/>
          <w:sz w:val="24"/>
          <w:szCs w:val="24"/>
        </w:rPr>
        <w:t xml:space="preserve"> </w:t>
      </w:r>
      <w:r w:rsidRPr="004422C0">
        <w:rPr>
          <w:rFonts w:ascii="Times New Roman" w:hAnsi="Times New Roman" w:cs="Times New Roman"/>
          <w:sz w:val="24"/>
          <w:szCs w:val="24"/>
        </w:rPr>
        <w:t xml:space="preserve">Rozchody z tytułu spłaty rat kapitałowych zaciągniętych kredytów i </w:t>
      </w:r>
      <w:r w:rsidR="00BA4749">
        <w:rPr>
          <w:rFonts w:ascii="Times New Roman" w:hAnsi="Times New Roman" w:cs="Times New Roman"/>
          <w:sz w:val="24"/>
          <w:szCs w:val="24"/>
        </w:rPr>
        <w:t>obligacji</w:t>
      </w:r>
      <w:r w:rsidRPr="004422C0">
        <w:rPr>
          <w:rFonts w:ascii="Times New Roman" w:hAnsi="Times New Roman" w:cs="Times New Roman"/>
          <w:sz w:val="24"/>
          <w:szCs w:val="24"/>
        </w:rPr>
        <w:t xml:space="preserve"> zostały ujęte w Wieloletniej</w:t>
      </w:r>
      <w:r w:rsidR="00BA4749">
        <w:rPr>
          <w:rFonts w:ascii="Times New Roman" w:hAnsi="Times New Roman" w:cs="Times New Roman"/>
          <w:sz w:val="24"/>
          <w:szCs w:val="24"/>
        </w:rPr>
        <w:t xml:space="preserve"> </w:t>
      </w:r>
      <w:r w:rsidRPr="004422C0">
        <w:rPr>
          <w:rFonts w:ascii="Times New Roman" w:hAnsi="Times New Roman" w:cs="Times New Roman"/>
          <w:sz w:val="24"/>
          <w:szCs w:val="24"/>
        </w:rPr>
        <w:t>Prognozie Finansowej na podstawie zawartych umów</w:t>
      </w:r>
      <w:r w:rsidR="00BA4749">
        <w:rPr>
          <w:rFonts w:ascii="Times New Roman" w:hAnsi="Times New Roman" w:cs="Times New Roman"/>
          <w:sz w:val="24"/>
          <w:szCs w:val="24"/>
        </w:rPr>
        <w:t xml:space="preserve"> oraz na podstawie prognozowanego do zaciągnięcia kredytu</w:t>
      </w:r>
      <w:r w:rsidRPr="004422C0">
        <w:rPr>
          <w:rFonts w:ascii="Times New Roman" w:hAnsi="Times New Roman" w:cs="Times New Roman"/>
          <w:sz w:val="24"/>
          <w:szCs w:val="24"/>
        </w:rPr>
        <w:t>.</w:t>
      </w:r>
    </w:p>
    <w:p w:rsidR="004422C0" w:rsidRDefault="004422C0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22C0">
        <w:rPr>
          <w:rFonts w:ascii="Times New Roman" w:hAnsi="Times New Roman" w:cs="Times New Roman"/>
          <w:sz w:val="24"/>
          <w:szCs w:val="24"/>
        </w:rPr>
        <w:t>Szczegółowe zestawienie kwoty długu oraz spłaty rat kapitałowych w poszczególnych latach zawiera</w:t>
      </w:r>
      <w:r w:rsidR="00BA4749">
        <w:rPr>
          <w:rFonts w:ascii="Times New Roman" w:hAnsi="Times New Roman" w:cs="Times New Roman"/>
          <w:sz w:val="24"/>
          <w:szCs w:val="24"/>
        </w:rPr>
        <w:t xml:space="preserve"> poniższa tabela:</w:t>
      </w:r>
    </w:p>
    <w:p w:rsidR="00BA4749" w:rsidRDefault="00BA4749" w:rsidP="003D357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4"/>
        <w:gridCol w:w="2445"/>
      </w:tblGrid>
      <w:tr w:rsidR="000B3AAF" w:rsidTr="000B3AAF">
        <w:tc>
          <w:tcPr>
            <w:tcW w:w="2444" w:type="dxa"/>
          </w:tcPr>
          <w:p w:rsidR="000B3AAF" w:rsidRPr="00357ADA" w:rsidRDefault="000B3AAF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ROK</w:t>
            </w:r>
          </w:p>
        </w:tc>
        <w:tc>
          <w:tcPr>
            <w:tcW w:w="2444" w:type="dxa"/>
          </w:tcPr>
          <w:p w:rsidR="000B3AAF" w:rsidRPr="00357ADA" w:rsidRDefault="000B3AAF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Nowy kredyt</w:t>
            </w:r>
          </w:p>
        </w:tc>
        <w:tc>
          <w:tcPr>
            <w:tcW w:w="2444" w:type="dxa"/>
          </w:tcPr>
          <w:p w:rsidR="000B3AAF" w:rsidRPr="00357ADA" w:rsidRDefault="000B3AAF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Rata kapitałowa</w:t>
            </w:r>
          </w:p>
        </w:tc>
        <w:tc>
          <w:tcPr>
            <w:tcW w:w="2445" w:type="dxa"/>
          </w:tcPr>
          <w:p w:rsidR="000B3AAF" w:rsidRPr="00357ADA" w:rsidRDefault="000B3AAF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Zadłużeniem na koniec roku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2015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1 030 714,00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23 725 020,00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2016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4 000 000,00</w:t>
            </w: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744 996,00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26 980 024,00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2017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1 587 096,00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25 392 928,00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2018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3 587 096,00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21 805 832,00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2019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3 587 096,00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18 218 736,00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2020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3 587 136,00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14 631 600,00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2021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2 631 600,00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12 000 000,00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2022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2 000 000,00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10 000 000,00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2023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2 000 000,00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8 000 000,00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2024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2 000 000,00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6 000 000,00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2025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2 000 000,00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4 000 000,00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2026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2 000 000,00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2 000 000,00</w:t>
            </w:r>
          </w:p>
        </w:tc>
      </w:tr>
      <w:tr w:rsidR="00357ADA" w:rsidTr="00C41122"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2027</w:t>
            </w:r>
          </w:p>
        </w:tc>
        <w:tc>
          <w:tcPr>
            <w:tcW w:w="2444" w:type="dxa"/>
          </w:tcPr>
          <w:p w:rsidR="00357ADA" w:rsidRPr="00357ADA" w:rsidRDefault="00357ADA" w:rsidP="000B3AA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:rsidR="00357ADA" w:rsidRPr="00357ADA" w:rsidRDefault="00357ADA" w:rsidP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2 000 000,00</w:t>
            </w:r>
          </w:p>
        </w:tc>
        <w:tc>
          <w:tcPr>
            <w:tcW w:w="2445" w:type="dxa"/>
            <w:vAlign w:val="bottom"/>
          </w:tcPr>
          <w:p w:rsidR="00357ADA" w:rsidRPr="00357ADA" w:rsidRDefault="00357ADA">
            <w:pPr>
              <w:jc w:val="right"/>
              <w:rPr>
                <w:sz w:val="22"/>
                <w:szCs w:val="22"/>
              </w:rPr>
            </w:pPr>
            <w:r w:rsidRPr="00357ADA">
              <w:rPr>
                <w:sz w:val="22"/>
                <w:szCs w:val="22"/>
              </w:rPr>
              <w:t>0,00</w:t>
            </w:r>
          </w:p>
        </w:tc>
      </w:tr>
    </w:tbl>
    <w:p w:rsidR="00BA4749" w:rsidRPr="00BA4749" w:rsidRDefault="00BA4749" w:rsidP="003D3571"/>
    <w:p w:rsidR="00F679BB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BB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BB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D2E" w:rsidRPr="002854D6" w:rsidRDefault="00011964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</w:t>
      </w:r>
      <w:r w:rsidR="00D83D2E" w:rsidRPr="002854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679BB">
        <w:rPr>
          <w:rFonts w:ascii="Times New Roman" w:hAnsi="Times New Roman" w:cs="Times New Roman"/>
          <w:b/>
          <w:sz w:val="24"/>
          <w:szCs w:val="24"/>
        </w:rPr>
        <w:t xml:space="preserve">Wynik budżetu </w:t>
      </w:r>
    </w:p>
    <w:p w:rsid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sz w:val="24"/>
          <w:szCs w:val="24"/>
        </w:rPr>
        <w:t>Wynik budżetu w prognozowanym okresie jest ściśle powiązany z przyjętymi założ</w:t>
      </w:r>
      <w:r>
        <w:rPr>
          <w:sz w:val="24"/>
          <w:szCs w:val="24"/>
        </w:rPr>
        <w:t xml:space="preserve">eniami do prognozy </w:t>
      </w:r>
      <w:r w:rsidRPr="00F679BB">
        <w:rPr>
          <w:sz w:val="24"/>
          <w:szCs w:val="24"/>
        </w:rPr>
        <w:t>dochodów i wydatków. Wynik z działalności operacyjnej jest pozycją istotną w zwią</w:t>
      </w:r>
      <w:r>
        <w:rPr>
          <w:sz w:val="24"/>
          <w:szCs w:val="24"/>
        </w:rPr>
        <w:t xml:space="preserve">zku z art. 242 Ustawy </w:t>
      </w:r>
      <w:r w:rsidRPr="00F679BB">
        <w:rPr>
          <w:sz w:val="24"/>
          <w:szCs w:val="24"/>
        </w:rPr>
        <w:t xml:space="preserve">o finansach publicznych (Dz. U. z 2013, poz. 885 ze zm.) – </w:t>
      </w:r>
      <w:r w:rsidRPr="00F679BB">
        <w:rPr>
          <w:b/>
          <w:sz w:val="24"/>
          <w:szCs w:val="24"/>
        </w:rPr>
        <w:t xml:space="preserve">organ stanowiący jednostki samorządu terytorialnego nie może uchwalić budżetu, w którym planowane wydatki bieżące są wyższe niż planowane dochody bieżące powiększone o nadwyżkę budżetową z lat ubiegłych i wolne środki. </w:t>
      </w:r>
      <w:r w:rsidRPr="00F679BB">
        <w:rPr>
          <w:sz w:val="24"/>
          <w:szCs w:val="24"/>
        </w:rPr>
        <w:t>W prognozowanym okresie nie ma</w:t>
      </w:r>
      <w:r>
        <w:rPr>
          <w:sz w:val="24"/>
          <w:szCs w:val="24"/>
        </w:rPr>
        <w:t xml:space="preserve"> </w:t>
      </w:r>
      <w:r w:rsidRPr="00F679BB">
        <w:rPr>
          <w:sz w:val="24"/>
          <w:szCs w:val="24"/>
        </w:rPr>
        <w:t>zagrożenia naruszenia powyższej relacji. Planowana nadwyżka w latach prognozowanych zostanie przeznaczona</w:t>
      </w:r>
      <w:r>
        <w:rPr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na spłatę zobowiązań z tytułu zaciągniętych kredytów lub </w:t>
      </w:r>
      <w:r>
        <w:rPr>
          <w:rFonts w:ascii="Times New Roman" w:hAnsi="Times New Roman" w:cs="Times New Roman"/>
          <w:sz w:val="24"/>
          <w:szCs w:val="24"/>
        </w:rPr>
        <w:t>obligacji</w:t>
      </w:r>
      <w:r w:rsidRPr="00F679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254C" w:rsidRDefault="00CF254C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BB" w:rsidRPr="002854D6" w:rsidRDefault="00F679BB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Pr="002854D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Przedsięwzięcia </w:t>
      </w:r>
    </w:p>
    <w:p w:rsidR="00F679BB" w:rsidRP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>Przedsięwzięcia zostały zaplanowane do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79BB">
        <w:rPr>
          <w:rFonts w:ascii="Times New Roman" w:hAnsi="Times New Roman" w:cs="Times New Roman"/>
          <w:sz w:val="24"/>
          <w:szCs w:val="24"/>
        </w:rPr>
        <w:t xml:space="preserve"> roku i obejmują zadania zaliczane do wieloletnich przedsięwzięć.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Łączne nakłady </w:t>
      </w:r>
      <w:r w:rsidR="00DD79AC" w:rsidRPr="00F679BB">
        <w:rPr>
          <w:rFonts w:ascii="Times New Roman" w:hAnsi="Times New Roman" w:cs="Times New Roman"/>
          <w:sz w:val="24"/>
          <w:szCs w:val="24"/>
        </w:rPr>
        <w:t xml:space="preserve">finansowe </w:t>
      </w:r>
      <w:r w:rsidR="00DD79AC">
        <w:rPr>
          <w:rFonts w:ascii="Times New Roman" w:hAnsi="Times New Roman" w:cs="Times New Roman"/>
          <w:sz w:val="24"/>
          <w:szCs w:val="24"/>
        </w:rPr>
        <w:t>na przedsięwzięcia w okresie od 20</w:t>
      </w:r>
      <w:r w:rsidR="00357ADA">
        <w:rPr>
          <w:rFonts w:ascii="Times New Roman" w:hAnsi="Times New Roman" w:cs="Times New Roman"/>
          <w:sz w:val="24"/>
          <w:szCs w:val="24"/>
        </w:rPr>
        <w:t>11</w:t>
      </w:r>
      <w:r w:rsidR="00DD79AC">
        <w:rPr>
          <w:rFonts w:ascii="Times New Roman" w:hAnsi="Times New Roman" w:cs="Times New Roman"/>
          <w:sz w:val="24"/>
          <w:szCs w:val="24"/>
        </w:rPr>
        <w:t xml:space="preserve"> r. do 20</w:t>
      </w:r>
      <w:r w:rsidR="008B7101">
        <w:rPr>
          <w:rFonts w:ascii="Times New Roman" w:hAnsi="Times New Roman" w:cs="Times New Roman"/>
          <w:sz w:val="24"/>
          <w:szCs w:val="24"/>
        </w:rPr>
        <w:t>20</w:t>
      </w:r>
      <w:r w:rsidR="00DD79AC">
        <w:rPr>
          <w:rFonts w:ascii="Times New Roman" w:hAnsi="Times New Roman" w:cs="Times New Roman"/>
          <w:sz w:val="24"/>
          <w:szCs w:val="24"/>
        </w:rPr>
        <w:t xml:space="preserve"> r. </w:t>
      </w:r>
      <w:r w:rsidRPr="00F679BB">
        <w:rPr>
          <w:rFonts w:ascii="Times New Roman" w:hAnsi="Times New Roman" w:cs="Times New Roman"/>
          <w:sz w:val="24"/>
          <w:szCs w:val="24"/>
        </w:rPr>
        <w:t xml:space="preserve">wyniosą </w:t>
      </w:r>
      <w:r w:rsidR="00357ADA">
        <w:rPr>
          <w:rFonts w:ascii="Times New Roman" w:hAnsi="Times New Roman" w:cs="Times New Roman"/>
          <w:sz w:val="24"/>
          <w:szCs w:val="24"/>
        </w:rPr>
        <w:t>32.489.426</w:t>
      </w:r>
      <w:r w:rsidR="00DD79AC">
        <w:rPr>
          <w:rFonts w:ascii="Times New Roman" w:hAnsi="Times New Roman" w:cs="Times New Roman"/>
          <w:sz w:val="24"/>
          <w:szCs w:val="24"/>
        </w:rPr>
        <w:t xml:space="preserve"> zł,</w:t>
      </w:r>
      <w:r w:rsidRPr="00F679BB">
        <w:rPr>
          <w:rFonts w:ascii="Times New Roman" w:hAnsi="Times New Roman" w:cs="Times New Roman"/>
          <w:sz w:val="24"/>
          <w:szCs w:val="24"/>
        </w:rPr>
        <w:t xml:space="preserve"> z tego w: 201</w:t>
      </w:r>
      <w:r w:rsidR="00357ADA">
        <w:rPr>
          <w:rFonts w:ascii="Times New Roman" w:hAnsi="Times New Roman" w:cs="Times New Roman"/>
          <w:sz w:val="24"/>
          <w:szCs w:val="24"/>
        </w:rPr>
        <w:t>6</w:t>
      </w:r>
      <w:r w:rsidR="00DD79AC"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r. – </w:t>
      </w:r>
      <w:r w:rsidR="00DD79AC">
        <w:rPr>
          <w:rFonts w:ascii="Times New Roman" w:hAnsi="Times New Roman" w:cs="Times New Roman"/>
          <w:sz w:val="24"/>
          <w:szCs w:val="24"/>
        </w:rPr>
        <w:t>4.</w:t>
      </w:r>
      <w:r w:rsidR="00357ADA">
        <w:rPr>
          <w:rFonts w:ascii="Times New Roman" w:hAnsi="Times New Roman" w:cs="Times New Roman"/>
          <w:sz w:val="24"/>
          <w:szCs w:val="24"/>
        </w:rPr>
        <w:t>546.222</w:t>
      </w:r>
      <w:r w:rsidRPr="00F679BB">
        <w:rPr>
          <w:rFonts w:ascii="Times New Roman" w:hAnsi="Times New Roman" w:cs="Times New Roman"/>
          <w:sz w:val="24"/>
          <w:szCs w:val="24"/>
        </w:rPr>
        <w:t xml:space="preserve"> zł, 201</w:t>
      </w:r>
      <w:r w:rsidR="00357ADA">
        <w:rPr>
          <w:rFonts w:ascii="Times New Roman" w:hAnsi="Times New Roman" w:cs="Times New Roman"/>
          <w:sz w:val="24"/>
          <w:szCs w:val="24"/>
        </w:rPr>
        <w:t>7</w:t>
      </w:r>
      <w:r w:rsidR="00DD79AC"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r. – </w:t>
      </w:r>
      <w:r w:rsidR="00357ADA">
        <w:rPr>
          <w:rFonts w:ascii="Times New Roman" w:hAnsi="Times New Roman" w:cs="Times New Roman"/>
          <w:sz w:val="24"/>
          <w:szCs w:val="24"/>
        </w:rPr>
        <w:t>7.545.267</w:t>
      </w:r>
      <w:r w:rsidRPr="00F679BB">
        <w:rPr>
          <w:rFonts w:ascii="Times New Roman" w:hAnsi="Times New Roman" w:cs="Times New Roman"/>
          <w:sz w:val="24"/>
          <w:szCs w:val="24"/>
        </w:rPr>
        <w:t xml:space="preserve"> zł, </w:t>
      </w:r>
      <w:r w:rsidR="00DD79AC">
        <w:rPr>
          <w:rFonts w:ascii="Times New Roman" w:hAnsi="Times New Roman" w:cs="Times New Roman"/>
          <w:sz w:val="24"/>
          <w:szCs w:val="24"/>
        </w:rPr>
        <w:t>201</w:t>
      </w:r>
      <w:r w:rsidR="00357ADA">
        <w:rPr>
          <w:rFonts w:ascii="Times New Roman" w:hAnsi="Times New Roman" w:cs="Times New Roman"/>
          <w:sz w:val="24"/>
          <w:szCs w:val="24"/>
        </w:rPr>
        <w:t>8</w:t>
      </w:r>
      <w:r w:rsidR="00DD79AC">
        <w:rPr>
          <w:rFonts w:ascii="Times New Roman" w:hAnsi="Times New Roman" w:cs="Times New Roman"/>
          <w:sz w:val="24"/>
          <w:szCs w:val="24"/>
        </w:rPr>
        <w:t xml:space="preserve"> r.</w:t>
      </w:r>
      <w:r w:rsidR="00DD79AC" w:rsidRPr="00DD79AC">
        <w:t xml:space="preserve"> </w:t>
      </w:r>
      <w:r w:rsidR="00DD79AC" w:rsidRPr="00DD79AC">
        <w:rPr>
          <w:rFonts w:ascii="Times New Roman" w:hAnsi="Times New Roman" w:cs="Times New Roman"/>
          <w:sz w:val="24"/>
          <w:szCs w:val="24"/>
        </w:rPr>
        <w:t>– 5.</w:t>
      </w:r>
      <w:r w:rsidR="00357ADA">
        <w:rPr>
          <w:rFonts w:ascii="Times New Roman" w:hAnsi="Times New Roman" w:cs="Times New Roman"/>
          <w:sz w:val="24"/>
          <w:szCs w:val="24"/>
        </w:rPr>
        <w:t>032.520</w:t>
      </w:r>
      <w:r w:rsidR="00DD79AC" w:rsidRPr="00DD79AC">
        <w:rPr>
          <w:rFonts w:ascii="Times New Roman" w:hAnsi="Times New Roman" w:cs="Times New Roman"/>
          <w:sz w:val="24"/>
          <w:szCs w:val="24"/>
        </w:rPr>
        <w:t xml:space="preserve"> zł</w:t>
      </w:r>
      <w:r w:rsidR="00DD79AC">
        <w:rPr>
          <w:rFonts w:ascii="Times New Roman" w:hAnsi="Times New Roman" w:cs="Times New Roman"/>
          <w:sz w:val="24"/>
          <w:szCs w:val="24"/>
        </w:rPr>
        <w:t>,</w:t>
      </w:r>
      <w:r w:rsidR="008B7101">
        <w:rPr>
          <w:rFonts w:ascii="Times New Roman" w:hAnsi="Times New Roman" w:cs="Times New Roman"/>
          <w:sz w:val="24"/>
          <w:szCs w:val="24"/>
        </w:rPr>
        <w:t xml:space="preserve"> 201</w:t>
      </w:r>
      <w:r w:rsidR="00357ADA">
        <w:rPr>
          <w:rFonts w:ascii="Times New Roman" w:hAnsi="Times New Roman" w:cs="Times New Roman"/>
          <w:sz w:val="24"/>
          <w:szCs w:val="24"/>
        </w:rPr>
        <w:t>9</w:t>
      </w:r>
      <w:r w:rsidR="008B7101">
        <w:rPr>
          <w:rFonts w:ascii="Times New Roman" w:hAnsi="Times New Roman" w:cs="Times New Roman"/>
          <w:sz w:val="24"/>
          <w:szCs w:val="24"/>
        </w:rPr>
        <w:t xml:space="preserve"> r.</w:t>
      </w:r>
      <w:r w:rsidR="00357ADA">
        <w:rPr>
          <w:rFonts w:ascii="Times New Roman" w:hAnsi="Times New Roman" w:cs="Times New Roman"/>
          <w:sz w:val="24"/>
          <w:szCs w:val="24"/>
        </w:rPr>
        <w:t xml:space="preserve">- </w:t>
      </w:r>
      <w:r w:rsidR="008B7101">
        <w:rPr>
          <w:rFonts w:ascii="Times New Roman" w:hAnsi="Times New Roman" w:cs="Times New Roman"/>
          <w:sz w:val="24"/>
          <w:szCs w:val="24"/>
        </w:rPr>
        <w:t>2.</w:t>
      </w:r>
      <w:r w:rsidR="00357ADA">
        <w:rPr>
          <w:rFonts w:ascii="Times New Roman" w:hAnsi="Times New Roman" w:cs="Times New Roman"/>
          <w:sz w:val="24"/>
          <w:szCs w:val="24"/>
        </w:rPr>
        <w:t>092.520</w:t>
      </w:r>
      <w:r w:rsidR="008B7101">
        <w:rPr>
          <w:rFonts w:ascii="Times New Roman" w:hAnsi="Times New Roman" w:cs="Times New Roman"/>
          <w:sz w:val="24"/>
          <w:szCs w:val="24"/>
        </w:rPr>
        <w:t xml:space="preserve"> zł, 20</w:t>
      </w:r>
      <w:r w:rsidR="00357ADA">
        <w:rPr>
          <w:rFonts w:ascii="Times New Roman" w:hAnsi="Times New Roman" w:cs="Times New Roman"/>
          <w:sz w:val="24"/>
          <w:szCs w:val="24"/>
        </w:rPr>
        <w:t>20</w:t>
      </w:r>
      <w:r w:rsidR="008B7101">
        <w:rPr>
          <w:rFonts w:ascii="Times New Roman" w:hAnsi="Times New Roman" w:cs="Times New Roman"/>
          <w:sz w:val="24"/>
          <w:szCs w:val="24"/>
        </w:rPr>
        <w:t xml:space="preserve"> r. – 2.</w:t>
      </w:r>
      <w:r w:rsidR="00357ADA">
        <w:rPr>
          <w:rFonts w:ascii="Times New Roman" w:hAnsi="Times New Roman" w:cs="Times New Roman"/>
          <w:sz w:val="24"/>
          <w:szCs w:val="24"/>
        </w:rPr>
        <w:t>069.390</w:t>
      </w:r>
      <w:r w:rsidR="008B7101">
        <w:rPr>
          <w:rFonts w:ascii="Times New Roman" w:hAnsi="Times New Roman" w:cs="Times New Roman"/>
          <w:sz w:val="24"/>
          <w:szCs w:val="24"/>
        </w:rPr>
        <w:t xml:space="preserve"> zł, </w:t>
      </w:r>
      <w:r w:rsidRPr="00F679BB">
        <w:rPr>
          <w:rFonts w:ascii="Times New Roman" w:hAnsi="Times New Roman" w:cs="Times New Roman"/>
          <w:sz w:val="24"/>
          <w:szCs w:val="24"/>
        </w:rPr>
        <w:t>limit</w:t>
      </w:r>
      <w:r w:rsidR="00DD79AC">
        <w:rPr>
          <w:rFonts w:ascii="Times New Roman" w:hAnsi="Times New Roman" w:cs="Times New Roman"/>
          <w:sz w:val="24"/>
          <w:szCs w:val="24"/>
        </w:rPr>
        <w:t xml:space="preserve"> </w:t>
      </w:r>
      <w:r w:rsidRPr="00F679BB">
        <w:rPr>
          <w:rFonts w:ascii="Times New Roman" w:hAnsi="Times New Roman" w:cs="Times New Roman"/>
          <w:sz w:val="24"/>
          <w:szCs w:val="24"/>
        </w:rPr>
        <w:t xml:space="preserve">zobowiązań został ustalony do kwoty </w:t>
      </w:r>
      <w:r w:rsidR="00883178">
        <w:rPr>
          <w:rFonts w:ascii="Times New Roman" w:hAnsi="Times New Roman" w:cs="Times New Roman"/>
          <w:sz w:val="24"/>
          <w:szCs w:val="24"/>
        </w:rPr>
        <w:t>31.357.556</w:t>
      </w:r>
      <w:r w:rsidRPr="00F679BB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F679BB" w:rsidRPr="00883178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 xml:space="preserve">a) </w:t>
      </w:r>
      <w:r w:rsidRPr="00883178">
        <w:rPr>
          <w:rFonts w:ascii="Times New Roman" w:hAnsi="Times New Roman" w:cs="Times New Roman"/>
          <w:b/>
          <w:i/>
          <w:sz w:val="24"/>
          <w:szCs w:val="24"/>
        </w:rPr>
        <w:t>Wydatki na programy, projekty lub zadania związane z programami realizowanymi z udziałem</w:t>
      </w:r>
    </w:p>
    <w:p w:rsidR="00F679BB" w:rsidRPr="00F679BB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178">
        <w:rPr>
          <w:rFonts w:ascii="Times New Roman" w:hAnsi="Times New Roman" w:cs="Times New Roman"/>
          <w:b/>
          <w:i/>
          <w:sz w:val="24"/>
          <w:szCs w:val="24"/>
        </w:rPr>
        <w:t xml:space="preserve">środków, o których mowa w art. 5 ust. 1 pkt 2 i 3 </w:t>
      </w:r>
      <w:proofErr w:type="spellStart"/>
      <w:r w:rsidRPr="00883178">
        <w:rPr>
          <w:rFonts w:ascii="Times New Roman" w:hAnsi="Times New Roman" w:cs="Times New Roman"/>
          <w:b/>
          <w:i/>
          <w:sz w:val="24"/>
          <w:szCs w:val="24"/>
        </w:rPr>
        <w:t>uofp</w:t>
      </w:r>
      <w:proofErr w:type="spellEnd"/>
      <w:r w:rsidRPr="00883178">
        <w:rPr>
          <w:rFonts w:ascii="Times New Roman" w:hAnsi="Times New Roman" w:cs="Times New Roman"/>
          <w:b/>
          <w:i/>
          <w:sz w:val="24"/>
          <w:szCs w:val="24"/>
        </w:rPr>
        <w:t xml:space="preserve"> (Dz.U. Nr 157, poz. 1240, z </w:t>
      </w:r>
      <w:proofErr w:type="spellStart"/>
      <w:r w:rsidRPr="00883178">
        <w:rPr>
          <w:rFonts w:ascii="Times New Roman" w:hAnsi="Times New Roman" w:cs="Times New Roman"/>
          <w:b/>
          <w:i/>
          <w:sz w:val="24"/>
          <w:szCs w:val="24"/>
        </w:rPr>
        <w:t>późn</w:t>
      </w:r>
      <w:proofErr w:type="spellEnd"/>
      <w:r w:rsidRPr="00883178">
        <w:rPr>
          <w:rFonts w:ascii="Times New Roman" w:hAnsi="Times New Roman" w:cs="Times New Roman"/>
          <w:b/>
          <w:i/>
          <w:sz w:val="24"/>
          <w:szCs w:val="24"/>
        </w:rPr>
        <w:t>. zm.):</w:t>
      </w:r>
    </w:p>
    <w:p w:rsidR="00883178" w:rsidRDefault="00883178" w:rsidP="00883178">
      <w:pPr>
        <w:pStyle w:val="Bodytek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83178">
        <w:rPr>
          <w:rFonts w:ascii="Times New Roman" w:hAnsi="Times New Roman" w:cs="Times New Roman"/>
          <w:sz w:val="24"/>
          <w:szCs w:val="24"/>
        </w:rPr>
        <w:t>Dostep</w:t>
      </w:r>
      <w:proofErr w:type="spellEnd"/>
      <w:r w:rsidRPr="00883178">
        <w:rPr>
          <w:rFonts w:ascii="Times New Roman" w:hAnsi="Times New Roman" w:cs="Times New Roman"/>
          <w:sz w:val="24"/>
          <w:szCs w:val="24"/>
        </w:rPr>
        <w:t xml:space="preserve"> do Internetu dla Beneficjentów ostatecznych projektu E-</w:t>
      </w:r>
      <w:proofErr w:type="spellStart"/>
      <w:r w:rsidRPr="00883178">
        <w:rPr>
          <w:rFonts w:ascii="Times New Roman" w:hAnsi="Times New Roman" w:cs="Times New Roman"/>
          <w:sz w:val="24"/>
          <w:szCs w:val="24"/>
        </w:rPr>
        <w:t>Inclusion</w:t>
      </w:r>
      <w:proofErr w:type="spellEnd"/>
      <w:r w:rsidRPr="00883178">
        <w:rPr>
          <w:rFonts w:ascii="Times New Roman" w:hAnsi="Times New Roman" w:cs="Times New Roman"/>
          <w:sz w:val="24"/>
          <w:szCs w:val="24"/>
        </w:rPr>
        <w:t xml:space="preserve"> Powiatu  - zapewnienia trwałości projektu „E-</w:t>
      </w:r>
      <w:proofErr w:type="spellStart"/>
      <w:r w:rsidRPr="00883178">
        <w:rPr>
          <w:rFonts w:ascii="Times New Roman" w:hAnsi="Times New Roman" w:cs="Times New Roman"/>
          <w:sz w:val="24"/>
          <w:szCs w:val="24"/>
        </w:rPr>
        <w:t>Inclusion</w:t>
      </w:r>
      <w:proofErr w:type="spellEnd"/>
      <w:r w:rsidRPr="00883178">
        <w:rPr>
          <w:rFonts w:ascii="Times New Roman" w:hAnsi="Times New Roman" w:cs="Times New Roman"/>
          <w:sz w:val="24"/>
          <w:szCs w:val="24"/>
        </w:rPr>
        <w:t xml:space="preserve"> Powiatu Goleniowskiego”.</w:t>
      </w:r>
    </w:p>
    <w:p w:rsidR="00CB0586" w:rsidRPr="00735CC0" w:rsidRDefault="0068066A" w:rsidP="003D3571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  <w:sz w:val="24"/>
          <w:szCs w:val="24"/>
        </w:rPr>
      </w:pPr>
      <w:r w:rsidRPr="00883178">
        <w:rPr>
          <w:sz w:val="24"/>
          <w:szCs w:val="24"/>
        </w:rPr>
        <w:t>Termomodernizacja budynków użyteczności publicznej w Powiecie Goleniowskim -</w:t>
      </w:r>
      <w:r w:rsidRPr="0068066A">
        <w:rPr>
          <w:sz w:val="24"/>
          <w:szCs w:val="24"/>
        </w:rPr>
        <w:t xml:space="preserve"> projekt planowany na lata 2013 - 201</w:t>
      </w:r>
      <w:r w:rsidR="00883178">
        <w:rPr>
          <w:sz w:val="24"/>
          <w:szCs w:val="24"/>
        </w:rPr>
        <w:t>8</w:t>
      </w:r>
      <w:r w:rsidRPr="0068066A">
        <w:rPr>
          <w:sz w:val="24"/>
          <w:szCs w:val="24"/>
        </w:rPr>
        <w:t>. W ramach tego projektu planowane jest uzyskanie dofinansowania z Funduszu Norweskiego do wysokości 80% nakładów finansowych</w:t>
      </w:r>
      <w:r>
        <w:rPr>
          <w:sz w:val="24"/>
          <w:szCs w:val="24"/>
        </w:rPr>
        <w:t>.</w:t>
      </w:r>
      <w:r w:rsidR="00CB0586" w:rsidRPr="001F0674">
        <w:rPr>
          <w:sz w:val="24"/>
          <w:szCs w:val="24"/>
        </w:rPr>
        <w:t xml:space="preserve"> </w:t>
      </w:r>
    </w:p>
    <w:p w:rsidR="00883178" w:rsidRPr="00883178" w:rsidRDefault="00F679BB" w:rsidP="003D3571">
      <w:pPr>
        <w:pStyle w:val="Bodytekst"/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679BB">
        <w:rPr>
          <w:rFonts w:ascii="Times New Roman" w:hAnsi="Times New Roman" w:cs="Times New Roman"/>
          <w:sz w:val="24"/>
          <w:szCs w:val="24"/>
        </w:rPr>
        <w:t xml:space="preserve">b) </w:t>
      </w:r>
      <w:r w:rsidRPr="00883178">
        <w:rPr>
          <w:rFonts w:ascii="Times New Roman" w:hAnsi="Times New Roman" w:cs="Times New Roman"/>
          <w:b/>
          <w:i/>
          <w:sz w:val="24"/>
          <w:szCs w:val="24"/>
        </w:rPr>
        <w:t>Wydatki na programy, projekty lub zadania pozostałe:</w:t>
      </w:r>
      <w:r w:rsidR="0068066A" w:rsidRPr="00883178">
        <w:rPr>
          <w:rFonts w:ascii="Times New Roman" w:hAnsi="Times New Roman" w:cs="Times New Roman"/>
          <w:b/>
          <w:i/>
          <w:sz w:val="24"/>
          <w:szCs w:val="24"/>
        </w:rPr>
        <w:t xml:space="preserve"> w ramach tej kategorii planowane są </w:t>
      </w:r>
      <w:r w:rsidR="00883178" w:rsidRPr="00883178">
        <w:rPr>
          <w:rFonts w:ascii="Times New Roman" w:hAnsi="Times New Roman" w:cs="Times New Roman"/>
          <w:b/>
          <w:i/>
          <w:sz w:val="24"/>
          <w:szCs w:val="24"/>
        </w:rPr>
        <w:t xml:space="preserve">nakłady wieloletnie </w:t>
      </w:r>
      <w:r w:rsidR="0068066A" w:rsidRPr="00883178">
        <w:rPr>
          <w:rFonts w:ascii="Times New Roman" w:hAnsi="Times New Roman" w:cs="Times New Roman"/>
          <w:b/>
          <w:i/>
          <w:sz w:val="24"/>
          <w:szCs w:val="24"/>
        </w:rPr>
        <w:t>na</w:t>
      </w:r>
      <w:r w:rsidR="00883178" w:rsidRPr="0088317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83178" w:rsidRDefault="00883178" w:rsidP="00883178">
      <w:pPr>
        <w:pStyle w:val="Bodytek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178">
        <w:rPr>
          <w:rFonts w:ascii="Times New Roman" w:hAnsi="Times New Roman" w:cs="Times New Roman"/>
          <w:sz w:val="24"/>
          <w:szCs w:val="24"/>
        </w:rPr>
        <w:t>Zimowe utrzymanie dróg</w:t>
      </w:r>
    </w:p>
    <w:p w:rsidR="00883178" w:rsidRDefault="00883178" w:rsidP="00883178">
      <w:pPr>
        <w:pStyle w:val="Bodytek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178">
        <w:rPr>
          <w:rFonts w:ascii="Times New Roman" w:hAnsi="Times New Roman" w:cs="Times New Roman"/>
          <w:sz w:val="24"/>
          <w:szCs w:val="24"/>
        </w:rPr>
        <w:t>Mechaniczne wykaszanie traw i chwastów z poboczy dróg powiatowych - utrzymanie dróg powiatowych</w:t>
      </w:r>
    </w:p>
    <w:p w:rsidR="00883178" w:rsidRDefault="00883178" w:rsidP="00883178">
      <w:pPr>
        <w:pStyle w:val="Bodytek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178">
        <w:rPr>
          <w:rFonts w:ascii="Times New Roman" w:hAnsi="Times New Roman" w:cs="Times New Roman"/>
          <w:sz w:val="24"/>
          <w:szCs w:val="24"/>
        </w:rPr>
        <w:t>Wykonanie remontów cząstkowych dróg</w:t>
      </w:r>
    </w:p>
    <w:p w:rsidR="00883178" w:rsidRDefault="00883178" w:rsidP="00883178">
      <w:pPr>
        <w:pStyle w:val="Bodytek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178">
        <w:rPr>
          <w:rFonts w:ascii="Times New Roman" w:hAnsi="Times New Roman" w:cs="Times New Roman"/>
          <w:sz w:val="24"/>
          <w:szCs w:val="24"/>
        </w:rPr>
        <w:t>Wykonanie, dostawa i złomowanie tablic rejestracyjnych</w:t>
      </w:r>
    </w:p>
    <w:p w:rsidR="00883178" w:rsidRDefault="00883178" w:rsidP="00883178">
      <w:pPr>
        <w:pStyle w:val="Bodytek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178">
        <w:rPr>
          <w:rFonts w:ascii="Times New Roman" w:hAnsi="Times New Roman" w:cs="Times New Roman"/>
          <w:sz w:val="24"/>
          <w:szCs w:val="24"/>
        </w:rPr>
        <w:t>Modernizacja dróg powiatowych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254C" w:rsidRDefault="00CF254C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B21" w:rsidRPr="00D15B21" w:rsidRDefault="00D15B21" w:rsidP="003D3571">
      <w:pPr>
        <w:pStyle w:val="Bodytek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B21">
        <w:rPr>
          <w:rFonts w:ascii="Times New Roman" w:hAnsi="Times New Roman" w:cs="Times New Roman"/>
          <w:b/>
          <w:sz w:val="24"/>
          <w:szCs w:val="24"/>
        </w:rPr>
        <w:t>VII. Ustawowe wskaźniki limitujące zadłużenie</w:t>
      </w:r>
    </w:p>
    <w:p w:rsidR="00273024" w:rsidRDefault="00D15B21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5B21">
        <w:rPr>
          <w:rFonts w:ascii="Times New Roman" w:hAnsi="Times New Roman" w:cs="Times New Roman"/>
          <w:sz w:val="24"/>
          <w:szCs w:val="24"/>
        </w:rPr>
        <w:t>Zgodnie z obowiązującymi przepisami dla budżetów jednostek samorządu terytorialnego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począwszy od 2014 roku zastosowanie mają przepisy art. 243-244 ustawy z dnia 27 sierpnia </w:t>
      </w:r>
      <w:r w:rsidR="00F856E9">
        <w:rPr>
          <w:rFonts w:ascii="Times New Roman" w:hAnsi="Times New Roman" w:cs="Times New Roman"/>
          <w:sz w:val="24"/>
          <w:szCs w:val="24"/>
        </w:rPr>
        <w:br/>
      </w:r>
      <w:r w:rsidRPr="00D15B21">
        <w:rPr>
          <w:rFonts w:ascii="Times New Roman" w:hAnsi="Times New Roman" w:cs="Times New Roman"/>
          <w:sz w:val="24"/>
          <w:szCs w:val="24"/>
        </w:rPr>
        <w:t>o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finansach publicznych. Zgodnie z nimi nie </w:t>
      </w:r>
      <w:r w:rsidR="00F856E9" w:rsidRPr="00D15B21">
        <w:rPr>
          <w:rFonts w:ascii="Times New Roman" w:hAnsi="Times New Roman" w:cs="Times New Roman"/>
          <w:sz w:val="24"/>
          <w:szCs w:val="24"/>
        </w:rPr>
        <w:t>mo</w:t>
      </w:r>
      <w:r w:rsidR="00F856E9">
        <w:rPr>
          <w:rFonts w:ascii="Times New Roman" w:hAnsi="Times New Roman" w:cs="Times New Roman"/>
          <w:sz w:val="24"/>
          <w:szCs w:val="24"/>
        </w:rPr>
        <w:t>ż</w:t>
      </w:r>
      <w:r w:rsidR="00F856E9" w:rsidRPr="00D15B21">
        <w:rPr>
          <w:rFonts w:ascii="Times New Roman" w:hAnsi="Times New Roman" w:cs="Times New Roman"/>
          <w:sz w:val="24"/>
          <w:szCs w:val="24"/>
        </w:rPr>
        <w:t>na</w:t>
      </w:r>
      <w:r w:rsidRPr="00D15B21">
        <w:rPr>
          <w:rFonts w:ascii="Times New Roman" w:hAnsi="Times New Roman" w:cs="Times New Roman"/>
          <w:sz w:val="24"/>
          <w:szCs w:val="24"/>
        </w:rPr>
        <w:t xml:space="preserve"> uchwalić </w:t>
      </w:r>
      <w:r w:rsidR="00F856E9" w:rsidRPr="00D15B21">
        <w:rPr>
          <w:rFonts w:ascii="Times New Roman" w:hAnsi="Times New Roman" w:cs="Times New Roman"/>
          <w:sz w:val="24"/>
          <w:szCs w:val="24"/>
        </w:rPr>
        <w:t>budżetu</w:t>
      </w:r>
      <w:r w:rsidRPr="00D15B21">
        <w:rPr>
          <w:rFonts w:ascii="Times New Roman" w:hAnsi="Times New Roman" w:cs="Times New Roman"/>
          <w:sz w:val="24"/>
          <w:szCs w:val="24"/>
        </w:rPr>
        <w:t>, którego realizacja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lastRenderedPageBreak/>
        <w:t xml:space="preserve">spowoduje, </w:t>
      </w:r>
      <w:r w:rsidR="00F856E9">
        <w:rPr>
          <w:rFonts w:ascii="Times New Roman" w:hAnsi="Times New Roman" w:cs="Times New Roman"/>
          <w:sz w:val="24"/>
          <w:szCs w:val="24"/>
        </w:rPr>
        <w:t>ż</w:t>
      </w:r>
      <w:r w:rsidR="00F856E9" w:rsidRPr="00D15B21">
        <w:rPr>
          <w:rFonts w:ascii="Times New Roman" w:hAnsi="Times New Roman" w:cs="Times New Roman"/>
          <w:sz w:val="24"/>
          <w:szCs w:val="24"/>
        </w:rPr>
        <w:t>e</w:t>
      </w:r>
      <w:r w:rsidRPr="00D15B21">
        <w:rPr>
          <w:rFonts w:ascii="Times New Roman" w:hAnsi="Times New Roman" w:cs="Times New Roman"/>
          <w:sz w:val="24"/>
          <w:szCs w:val="24"/>
        </w:rPr>
        <w:t xml:space="preserve"> w roku </w:t>
      </w:r>
      <w:r w:rsidR="00F856E9" w:rsidRPr="00D15B21">
        <w:rPr>
          <w:rFonts w:ascii="Times New Roman" w:hAnsi="Times New Roman" w:cs="Times New Roman"/>
          <w:sz w:val="24"/>
          <w:szCs w:val="24"/>
        </w:rPr>
        <w:t>budżetowym</w:t>
      </w:r>
      <w:r w:rsidRPr="00D15B21">
        <w:rPr>
          <w:rFonts w:ascii="Times New Roman" w:hAnsi="Times New Roman" w:cs="Times New Roman"/>
          <w:sz w:val="24"/>
          <w:szCs w:val="24"/>
        </w:rPr>
        <w:t xml:space="preserve"> oraz w </w:t>
      </w:r>
      <w:r w:rsidR="00F856E9" w:rsidRPr="00D15B21">
        <w:rPr>
          <w:rFonts w:ascii="Times New Roman" w:hAnsi="Times New Roman" w:cs="Times New Roman"/>
          <w:sz w:val="24"/>
          <w:szCs w:val="24"/>
        </w:rPr>
        <w:t>każdym</w:t>
      </w:r>
      <w:r w:rsidRPr="00D15B21">
        <w:rPr>
          <w:rFonts w:ascii="Times New Roman" w:hAnsi="Times New Roman" w:cs="Times New Roman"/>
          <w:sz w:val="24"/>
          <w:szCs w:val="24"/>
        </w:rPr>
        <w:t xml:space="preserve"> kolejnym roku relacja łącznej kwoty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obsługi </w:t>
      </w:r>
      <w:r w:rsidR="00F856E9" w:rsidRPr="00D15B21">
        <w:rPr>
          <w:rFonts w:ascii="Times New Roman" w:hAnsi="Times New Roman" w:cs="Times New Roman"/>
          <w:sz w:val="24"/>
          <w:szCs w:val="24"/>
        </w:rPr>
        <w:t>zadłużenia</w:t>
      </w:r>
      <w:r w:rsidRPr="00D15B21">
        <w:rPr>
          <w:rFonts w:ascii="Times New Roman" w:hAnsi="Times New Roman" w:cs="Times New Roman"/>
          <w:sz w:val="24"/>
          <w:szCs w:val="24"/>
        </w:rPr>
        <w:t xml:space="preserve"> powiększonej o potencjalne wypłaty z tytułu udzielonych poręczeń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podzielona przez dochody </w:t>
      </w:r>
      <w:r w:rsidR="00F856E9" w:rsidRPr="00D15B21">
        <w:rPr>
          <w:rFonts w:ascii="Times New Roman" w:hAnsi="Times New Roman" w:cs="Times New Roman"/>
          <w:sz w:val="24"/>
          <w:szCs w:val="24"/>
        </w:rPr>
        <w:t>budżetu</w:t>
      </w:r>
      <w:r w:rsidRPr="00D15B21">
        <w:rPr>
          <w:rFonts w:ascii="Times New Roman" w:hAnsi="Times New Roman" w:cs="Times New Roman"/>
          <w:sz w:val="24"/>
          <w:szCs w:val="24"/>
        </w:rPr>
        <w:t xml:space="preserve"> ogółem przekroczy średnią arytmetyczną z ostatnich 3 lat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relacji jej dochodów </w:t>
      </w:r>
      <w:r w:rsidR="00F856E9" w:rsidRPr="00D15B21">
        <w:rPr>
          <w:rFonts w:ascii="Times New Roman" w:hAnsi="Times New Roman" w:cs="Times New Roman"/>
          <w:sz w:val="24"/>
          <w:szCs w:val="24"/>
        </w:rPr>
        <w:t>bieżących</w:t>
      </w:r>
      <w:r w:rsidRPr="00D15B21">
        <w:rPr>
          <w:rFonts w:ascii="Times New Roman" w:hAnsi="Times New Roman" w:cs="Times New Roman"/>
          <w:sz w:val="24"/>
          <w:szCs w:val="24"/>
        </w:rPr>
        <w:t xml:space="preserve"> powiększonych o dochody ze </w:t>
      </w:r>
      <w:r w:rsidR="00F856E9" w:rsidRPr="00D15B21">
        <w:rPr>
          <w:rFonts w:ascii="Times New Roman" w:hAnsi="Times New Roman" w:cs="Times New Roman"/>
          <w:sz w:val="24"/>
          <w:szCs w:val="24"/>
        </w:rPr>
        <w:t>sprzedaży</w:t>
      </w:r>
      <w:r w:rsidR="00F856E9">
        <w:rPr>
          <w:rFonts w:ascii="Times New Roman" w:hAnsi="Times New Roman" w:cs="Times New Roman"/>
          <w:sz w:val="24"/>
          <w:szCs w:val="24"/>
        </w:rPr>
        <w:t xml:space="preserve"> majątku oraz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pomniejszonych o wydatki </w:t>
      </w:r>
      <w:r w:rsidR="00F856E9" w:rsidRPr="00D15B21">
        <w:rPr>
          <w:rFonts w:ascii="Times New Roman" w:hAnsi="Times New Roman" w:cs="Times New Roman"/>
          <w:sz w:val="24"/>
          <w:szCs w:val="24"/>
        </w:rPr>
        <w:t>bieżące</w:t>
      </w:r>
      <w:r w:rsidRPr="00D15B21">
        <w:rPr>
          <w:rFonts w:ascii="Times New Roman" w:hAnsi="Times New Roman" w:cs="Times New Roman"/>
          <w:sz w:val="24"/>
          <w:szCs w:val="24"/>
        </w:rPr>
        <w:t xml:space="preserve"> podzielonych przez dochody ogółem. Nowy sposób limitowania </w:t>
      </w:r>
      <w:r w:rsidR="00F856E9" w:rsidRPr="00D15B21">
        <w:rPr>
          <w:rFonts w:ascii="Times New Roman" w:hAnsi="Times New Roman" w:cs="Times New Roman"/>
          <w:sz w:val="24"/>
          <w:szCs w:val="24"/>
        </w:rPr>
        <w:t>zadłużenia</w:t>
      </w:r>
      <w:r w:rsidRPr="00D15B21">
        <w:rPr>
          <w:rFonts w:ascii="Times New Roman" w:hAnsi="Times New Roman" w:cs="Times New Roman"/>
          <w:sz w:val="24"/>
          <w:szCs w:val="24"/>
        </w:rPr>
        <w:t xml:space="preserve"> oparty jest wprost na saldzie operacyjnym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powiększonym o dochody ze </w:t>
      </w:r>
      <w:r w:rsidR="00F856E9" w:rsidRPr="00D15B21">
        <w:rPr>
          <w:rFonts w:ascii="Times New Roman" w:hAnsi="Times New Roman" w:cs="Times New Roman"/>
          <w:sz w:val="24"/>
          <w:szCs w:val="24"/>
        </w:rPr>
        <w:t>sprzedaży</w:t>
      </w:r>
      <w:r w:rsidRPr="00D15B21">
        <w:rPr>
          <w:rFonts w:ascii="Times New Roman" w:hAnsi="Times New Roman" w:cs="Times New Roman"/>
          <w:sz w:val="24"/>
          <w:szCs w:val="24"/>
        </w:rPr>
        <w:t xml:space="preserve"> majątku. Im </w:t>
      </w:r>
      <w:r w:rsidR="00F856E9" w:rsidRPr="00D15B21">
        <w:rPr>
          <w:rFonts w:ascii="Times New Roman" w:hAnsi="Times New Roman" w:cs="Times New Roman"/>
          <w:sz w:val="24"/>
          <w:szCs w:val="24"/>
        </w:rPr>
        <w:t>wyższe</w:t>
      </w:r>
      <w:r w:rsidRPr="00D15B21">
        <w:rPr>
          <w:rFonts w:ascii="Times New Roman" w:hAnsi="Times New Roman" w:cs="Times New Roman"/>
          <w:sz w:val="24"/>
          <w:szCs w:val="24"/>
        </w:rPr>
        <w:t xml:space="preserve"> to saldo tym </w:t>
      </w:r>
      <w:r w:rsidR="00F856E9" w:rsidRPr="00D15B21">
        <w:rPr>
          <w:rFonts w:ascii="Times New Roman" w:hAnsi="Times New Roman" w:cs="Times New Roman"/>
          <w:sz w:val="24"/>
          <w:szCs w:val="24"/>
        </w:rPr>
        <w:t>wyższe</w:t>
      </w:r>
      <w:r w:rsidRPr="00D15B21">
        <w:rPr>
          <w:rFonts w:ascii="Times New Roman" w:hAnsi="Times New Roman" w:cs="Times New Roman"/>
          <w:sz w:val="24"/>
          <w:szCs w:val="24"/>
        </w:rPr>
        <w:t xml:space="preserve">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możliwości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="00F856E9" w:rsidRPr="00D15B21">
        <w:rPr>
          <w:rFonts w:ascii="Times New Roman" w:hAnsi="Times New Roman" w:cs="Times New Roman"/>
          <w:sz w:val="24"/>
          <w:szCs w:val="24"/>
        </w:rPr>
        <w:t>zadłużania</w:t>
      </w:r>
      <w:r w:rsidRPr="00D15B21">
        <w:rPr>
          <w:rFonts w:ascii="Times New Roman" w:hAnsi="Times New Roman" w:cs="Times New Roman"/>
          <w:sz w:val="24"/>
          <w:szCs w:val="24"/>
        </w:rPr>
        <w:t xml:space="preserve">. Nowe regulacje w tym zakresie w </w:t>
      </w:r>
      <w:r w:rsidR="00F856E9" w:rsidRPr="00D15B21">
        <w:rPr>
          <w:rFonts w:ascii="Times New Roman" w:hAnsi="Times New Roman" w:cs="Times New Roman"/>
          <w:sz w:val="24"/>
          <w:szCs w:val="24"/>
        </w:rPr>
        <w:t>dużym</w:t>
      </w:r>
      <w:r w:rsidRPr="00D15B21">
        <w:rPr>
          <w:rFonts w:ascii="Times New Roman" w:hAnsi="Times New Roman" w:cs="Times New Roman"/>
          <w:sz w:val="24"/>
          <w:szCs w:val="24"/>
        </w:rPr>
        <w:t xml:space="preserve"> stopniu </w:t>
      </w:r>
      <w:r w:rsidR="00F856E9" w:rsidRPr="00D15B21">
        <w:rPr>
          <w:rFonts w:ascii="Times New Roman" w:hAnsi="Times New Roman" w:cs="Times New Roman"/>
          <w:sz w:val="24"/>
          <w:szCs w:val="24"/>
        </w:rPr>
        <w:t>uzależniają, więc</w:t>
      </w:r>
      <w:r w:rsidRPr="00D15B21">
        <w:rPr>
          <w:rFonts w:ascii="Times New Roman" w:hAnsi="Times New Roman" w:cs="Times New Roman"/>
          <w:sz w:val="24"/>
          <w:szCs w:val="24"/>
        </w:rPr>
        <w:t xml:space="preserve">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możliwości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inwestycyjne jednostek samorządu terytorialnego od poziomu salda operacyjnego. </w:t>
      </w:r>
      <w:r w:rsidR="00F856E9">
        <w:rPr>
          <w:rFonts w:ascii="Times New Roman" w:hAnsi="Times New Roman" w:cs="Times New Roman"/>
          <w:sz w:val="24"/>
          <w:szCs w:val="24"/>
        </w:rPr>
        <w:br/>
      </w:r>
      <w:r w:rsidRPr="00D15B21">
        <w:rPr>
          <w:rFonts w:ascii="Times New Roman" w:hAnsi="Times New Roman" w:cs="Times New Roman"/>
          <w:sz w:val="24"/>
          <w:szCs w:val="24"/>
        </w:rPr>
        <w:t>Po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pierwsze dodatnie saldo operacyjne jest kwotą, która wprost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</w:t>
      </w:r>
      <w:r w:rsidR="00F856E9">
        <w:rPr>
          <w:rFonts w:ascii="Times New Roman" w:hAnsi="Times New Roman" w:cs="Times New Roman"/>
          <w:sz w:val="24"/>
          <w:szCs w:val="24"/>
        </w:rPr>
        <w:t>e</w:t>
      </w:r>
      <w:r w:rsidRPr="00D15B21">
        <w:rPr>
          <w:rFonts w:ascii="Times New Roman" w:hAnsi="Times New Roman" w:cs="Times New Roman"/>
          <w:sz w:val="24"/>
          <w:szCs w:val="24"/>
        </w:rPr>
        <w:t xml:space="preserve"> być przeznaczona na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>inwestycje</w:t>
      </w:r>
      <w:r w:rsidR="00F856E9">
        <w:rPr>
          <w:rFonts w:ascii="Times New Roman" w:hAnsi="Times New Roman" w:cs="Times New Roman"/>
          <w:sz w:val="24"/>
          <w:szCs w:val="24"/>
        </w:rPr>
        <w:t xml:space="preserve">, </w:t>
      </w:r>
      <w:r w:rsidRPr="00D15B21">
        <w:rPr>
          <w:rFonts w:ascii="Times New Roman" w:hAnsi="Times New Roman" w:cs="Times New Roman"/>
          <w:sz w:val="24"/>
          <w:szCs w:val="24"/>
        </w:rPr>
        <w:t xml:space="preserve">a po drugie jej poziom przesądza o </w:t>
      </w:r>
      <w:r w:rsidR="00F856E9" w:rsidRPr="00D15B21">
        <w:rPr>
          <w:rFonts w:ascii="Times New Roman" w:hAnsi="Times New Roman" w:cs="Times New Roman"/>
          <w:sz w:val="24"/>
          <w:szCs w:val="24"/>
        </w:rPr>
        <w:t>możliwościach</w:t>
      </w:r>
      <w:r w:rsidRPr="00D15B21">
        <w:rPr>
          <w:rFonts w:ascii="Times New Roman" w:hAnsi="Times New Roman" w:cs="Times New Roman"/>
          <w:sz w:val="24"/>
          <w:szCs w:val="24"/>
        </w:rPr>
        <w:t xml:space="preserve"> zaciągania długu, który co do</w:t>
      </w:r>
      <w:r w:rsidR="00F856E9">
        <w:rPr>
          <w:rFonts w:ascii="Times New Roman" w:hAnsi="Times New Roman" w:cs="Times New Roman"/>
          <w:sz w:val="24"/>
          <w:szCs w:val="24"/>
        </w:rPr>
        <w:t xml:space="preserve"> </w:t>
      </w:r>
      <w:r w:rsidRPr="00D15B21">
        <w:rPr>
          <w:rFonts w:ascii="Times New Roman" w:hAnsi="Times New Roman" w:cs="Times New Roman"/>
          <w:sz w:val="24"/>
          <w:szCs w:val="24"/>
        </w:rPr>
        <w:t xml:space="preserve">zasady </w:t>
      </w:r>
      <w:r w:rsidR="00F856E9" w:rsidRPr="00D15B21">
        <w:rPr>
          <w:rFonts w:ascii="Times New Roman" w:hAnsi="Times New Roman" w:cs="Times New Roman"/>
          <w:sz w:val="24"/>
          <w:szCs w:val="24"/>
        </w:rPr>
        <w:t>służy</w:t>
      </w:r>
      <w:r w:rsidRPr="00D15B21">
        <w:rPr>
          <w:rFonts w:ascii="Times New Roman" w:hAnsi="Times New Roman" w:cs="Times New Roman"/>
          <w:sz w:val="24"/>
          <w:szCs w:val="24"/>
        </w:rPr>
        <w:t xml:space="preserve"> celom inwestycyjnym</w:t>
      </w:r>
      <w:r w:rsidR="00F856E9">
        <w:rPr>
          <w:rFonts w:ascii="Times New Roman" w:hAnsi="Times New Roman" w:cs="Times New Roman"/>
          <w:sz w:val="24"/>
          <w:szCs w:val="24"/>
        </w:rPr>
        <w:t>.</w:t>
      </w:r>
      <w:r w:rsidR="0050252E" w:rsidRPr="0050252E">
        <w:t xml:space="preserve"> </w:t>
      </w:r>
      <w:r w:rsidR="0050252E">
        <w:t>Wy</w:t>
      </w:r>
      <w:r w:rsidR="0050252E" w:rsidRPr="0050252E">
        <w:rPr>
          <w:rFonts w:ascii="Times New Roman" w:hAnsi="Times New Roman" w:cs="Times New Roman"/>
          <w:sz w:val="24"/>
          <w:szCs w:val="24"/>
        </w:rPr>
        <w:t>sokość salda operacyjnego</w:t>
      </w:r>
      <w:r w:rsidR="0050252E">
        <w:rPr>
          <w:rFonts w:ascii="Times New Roman" w:hAnsi="Times New Roman" w:cs="Times New Roman"/>
          <w:sz w:val="24"/>
          <w:szCs w:val="24"/>
        </w:rPr>
        <w:t xml:space="preserve"> dla Powiatu Goleniowskiego </w:t>
      </w:r>
      <w:r w:rsidR="0050252E" w:rsidRPr="0050252E">
        <w:rPr>
          <w:rFonts w:ascii="Times New Roman" w:hAnsi="Times New Roman" w:cs="Times New Roman"/>
          <w:sz w:val="24"/>
          <w:szCs w:val="24"/>
        </w:rPr>
        <w:t>obliczana na podstawie art. 242 ustawy o finansach publicznych w całym okresie wieloletniej</w:t>
      </w:r>
      <w:r w:rsidR="0050252E">
        <w:rPr>
          <w:rFonts w:ascii="Times New Roman" w:hAnsi="Times New Roman" w:cs="Times New Roman"/>
          <w:sz w:val="24"/>
          <w:szCs w:val="24"/>
        </w:rPr>
        <w:t xml:space="preserve"> </w:t>
      </w:r>
      <w:r w:rsidR="0050252E" w:rsidRPr="0050252E">
        <w:rPr>
          <w:rFonts w:ascii="Times New Roman" w:hAnsi="Times New Roman" w:cs="Times New Roman"/>
          <w:sz w:val="24"/>
          <w:szCs w:val="24"/>
        </w:rPr>
        <w:t>prognozy finans</w:t>
      </w:r>
      <w:r w:rsidR="0050252E">
        <w:rPr>
          <w:rFonts w:ascii="Times New Roman" w:hAnsi="Times New Roman" w:cs="Times New Roman"/>
          <w:sz w:val="24"/>
          <w:szCs w:val="24"/>
        </w:rPr>
        <w:t xml:space="preserve">owej przyjmuje wartość dodatnią, a </w:t>
      </w:r>
      <w:r w:rsidR="00E1576E">
        <w:rPr>
          <w:rFonts w:ascii="Times New Roman" w:hAnsi="Times New Roman" w:cs="Times New Roman"/>
          <w:sz w:val="24"/>
          <w:szCs w:val="24"/>
        </w:rPr>
        <w:t>Wieloletnia Prognoza finansowa na lata 201</w:t>
      </w:r>
      <w:r w:rsidR="00883178">
        <w:rPr>
          <w:rFonts w:ascii="Times New Roman" w:hAnsi="Times New Roman" w:cs="Times New Roman"/>
          <w:sz w:val="24"/>
          <w:szCs w:val="24"/>
        </w:rPr>
        <w:t>6</w:t>
      </w:r>
      <w:r w:rsidR="00E1576E">
        <w:rPr>
          <w:rFonts w:ascii="Times New Roman" w:hAnsi="Times New Roman" w:cs="Times New Roman"/>
          <w:sz w:val="24"/>
          <w:szCs w:val="24"/>
        </w:rPr>
        <w:t xml:space="preserve"> - 202</w:t>
      </w:r>
      <w:r w:rsidR="00273024">
        <w:rPr>
          <w:rFonts w:ascii="Times New Roman" w:hAnsi="Times New Roman" w:cs="Times New Roman"/>
          <w:sz w:val="24"/>
          <w:szCs w:val="24"/>
        </w:rPr>
        <w:t>7</w:t>
      </w:r>
      <w:r w:rsidR="00E1576E">
        <w:rPr>
          <w:rFonts w:ascii="Times New Roman" w:hAnsi="Times New Roman" w:cs="Times New Roman"/>
          <w:sz w:val="24"/>
          <w:szCs w:val="24"/>
        </w:rPr>
        <w:t xml:space="preserve"> spełnia dopuszczane wskaźniki finansowe wynikające zarówno ze starej jak i z nowej</w:t>
      </w:r>
      <w:r w:rsidR="00E1576E" w:rsidRPr="00E1576E">
        <w:t xml:space="preserve"> </w:t>
      </w:r>
      <w:r w:rsidR="00E1576E" w:rsidRPr="00E1576E">
        <w:rPr>
          <w:rFonts w:ascii="Times New Roman" w:hAnsi="Times New Roman" w:cs="Times New Roman"/>
          <w:sz w:val="24"/>
          <w:szCs w:val="24"/>
        </w:rPr>
        <w:t xml:space="preserve">ustawy </w:t>
      </w:r>
      <w:r w:rsidR="00CF254C">
        <w:rPr>
          <w:rFonts w:ascii="Times New Roman" w:hAnsi="Times New Roman" w:cs="Times New Roman"/>
          <w:sz w:val="24"/>
          <w:szCs w:val="24"/>
        </w:rPr>
        <w:br/>
      </w:r>
      <w:r w:rsidR="00E1576E" w:rsidRPr="00E1576E">
        <w:rPr>
          <w:rFonts w:ascii="Times New Roman" w:hAnsi="Times New Roman" w:cs="Times New Roman"/>
          <w:sz w:val="24"/>
          <w:szCs w:val="24"/>
        </w:rPr>
        <w:t>o finansach publicznych</w:t>
      </w:r>
      <w:r w:rsidR="00E1576E">
        <w:rPr>
          <w:rFonts w:ascii="Times New Roman" w:hAnsi="Times New Roman" w:cs="Times New Roman"/>
          <w:sz w:val="24"/>
          <w:szCs w:val="24"/>
        </w:rPr>
        <w:t xml:space="preserve">. </w:t>
      </w:r>
      <w:r w:rsidR="005F697D" w:rsidRPr="005F697D">
        <w:rPr>
          <w:rFonts w:ascii="Times New Roman" w:hAnsi="Times New Roman" w:cs="Times New Roman"/>
          <w:sz w:val="24"/>
          <w:szCs w:val="24"/>
        </w:rPr>
        <w:t xml:space="preserve">Wskaźniki </w:t>
      </w:r>
      <w:r w:rsidR="00120B8F" w:rsidRPr="00120B8F">
        <w:rPr>
          <w:rFonts w:ascii="Times New Roman" w:hAnsi="Times New Roman" w:cs="Times New Roman"/>
          <w:sz w:val="24"/>
          <w:szCs w:val="24"/>
        </w:rPr>
        <w:t>obliczone zgodnie z przepisami art. 243 ustawy z dnia 27 sierpnia 2009 r. o finansach publicznych, w prognozowanych latach</w:t>
      </w:r>
      <w:r w:rsidR="00273024">
        <w:rPr>
          <w:rFonts w:ascii="Times New Roman" w:hAnsi="Times New Roman" w:cs="Times New Roman"/>
          <w:sz w:val="24"/>
          <w:szCs w:val="24"/>
        </w:rPr>
        <w:t xml:space="preserve"> kształtują się następująco:</w:t>
      </w:r>
    </w:p>
    <w:p w:rsidR="00273024" w:rsidRPr="00273024" w:rsidRDefault="00273024" w:rsidP="003D357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"/>
        <w:gridCol w:w="1283"/>
        <w:gridCol w:w="629"/>
        <w:gridCol w:w="629"/>
        <w:gridCol w:w="629"/>
        <w:gridCol w:w="629"/>
        <w:gridCol w:w="629"/>
        <w:gridCol w:w="629"/>
        <w:gridCol w:w="629"/>
        <w:gridCol w:w="629"/>
        <w:gridCol w:w="616"/>
        <w:gridCol w:w="616"/>
        <w:gridCol w:w="616"/>
        <w:gridCol w:w="616"/>
      </w:tblGrid>
      <w:tr w:rsidR="00883178" w:rsidRPr="002D1FD0" w:rsidTr="002D1FD0">
        <w:tc>
          <w:tcPr>
            <w:tcW w:w="445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83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883178" w:rsidRPr="002D1FD0" w:rsidTr="002D1FD0">
        <w:tc>
          <w:tcPr>
            <w:tcW w:w="445" w:type="dxa"/>
          </w:tcPr>
          <w:p w:rsidR="00883178" w:rsidRPr="002D1FD0" w:rsidRDefault="00883178" w:rsidP="003D357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2D1FD0">
              <w:rPr>
                <w:rFonts w:eastAsia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83" w:type="dxa"/>
          </w:tcPr>
          <w:p w:rsidR="00883178" w:rsidRPr="002D1FD0" w:rsidRDefault="00883178" w:rsidP="003D357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2D1FD0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(R+O)/D</w:t>
            </w:r>
          </w:p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</w:tcPr>
          <w:p w:rsidR="00883178" w:rsidRPr="002D1FD0" w:rsidRDefault="00666723" w:rsidP="00666723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3,39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5,45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5,37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5,14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3,82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2,92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2,41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2,12</w:t>
            </w:r>
          </w:p>
        </w:tc>
      </w:tr>
      <w:tr w:rsidR="00883178" w:rsidRPr="002D1FD0" w:rsidTr="002D1FD0">
        <w:tc>
          <w:tcPr>
            <w:tcW w:w="445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3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b/>
                <w:sz w:val="20"/>
                <w:szCs w:val="20"/>
              </w:rPr>
              <w:t>Średnia z 3 poprzednich lat (</w:t>
            </w:r>
            <w:proofErr w:type="spellStart"/>
            <w:r w:rsidRPr="002D1FD0">
              <w:rPr>
                <w:rFonts w:ascii="Times New Roman" w:hAnsi="Times New Roman" w:cs="Times New Roman"/>
                <w:b/>
                <w:sz w:val="20"/>
                <w:szCs w:val="20"/>
              </w:rPr>
              <w:t>Db+Sm-Wb</w:t>
            </w:r>
            <w:proofErr w:type="spellEnd"/>
            <w:r w:rsidRPr="002D1FD0">
              <w:rPr>
                <w:rFonts w:ascii="Times New Roman" w:hAnsi="Times New Roman" w:cs="Times New Roman"/>
                <w:b/>
                <w:sz w:val="20"/>
                <w:szCs w:val="20"/>
              </w:rPr>
              <w:t>)/D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4,24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5,57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8,36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9,29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8,76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8,92</w:t>
            </w:r>
          </w:p>
        </w:tc>
        <w:tc>
          <w:tcPr>
            <w:tcW w:w="629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8,65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7,55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7,26</w:t>
            </w:r>
          </w:p>
        </w:tc>
        <w:tc>
          <w:tcPr>
            <w:tcW w:w="616" w:type="dxa"/>
          </w:tcPr>
          <w:p w:rsidR="00883178" w:rsidRPr="002D1FD0" w:rsidRDefault="00666723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6,96</w:t>
            </w:r>
          </w:p>
        </w:tc>
      </w:tr>
      <w:tr w:rsidR="00883178" w:rsidRPr="002D1FD0" w:rsidTr="002D1FD0">
        <w:tc>
          <w:tcPr>
            <w:tcW w:w="445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F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3" w:type="dxa"/>
          </w:tcPr>
          <w:p w:rsidR="00883178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Relacja spełniona jeżeli</w:t>
            </w:r>
          </w:p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poz.2&lt;poz.3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29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616" w:type="dxa"/>
          </w:tcPr>
          <w:p w:rsidR="00883178" w:rsidRPr="002D1FD0" w:rsidRDefault="00883178" w:rsidP="003D3571">
            <w:pPr>
              <w:pStyle w:val="Bodytekst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</w:tbl>
    <w:p w:rsidR="00273024" w:rsidRPr="002D1FD0" w:rsidRDefault="00273024" w:rsidP="003D3571">
      <w:pPr>
        <w:pStyle w:val="Bodytekst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2D1FD0" w:rsidRPr="002D1FD0" w:rsidRDefault="002D1FD0" w:rsidP="003D3571">
      <w:pPr>
        <w:pStyle w:val="Body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FD0">
        <w:rPr>
          <w:rFonts w:ascii="Times New Roman" w:hAnsi="Times New Roman" w:cs="Times New Roman"/>
          <w:sz w:val="24"/>
          <w:szCs w:val="24"/>
        </w:rPr>
        <w:t xml:space="preserve">R - spłata rat długoterminowych kredytów i pożyczek oraz wykup </w:t>
      </w:r>
      <w:r w:rsidR="003D3571">
        <w:rPr>
          <w:rFonts w:ascii="Times New Roman" w:hAnsi="Times New Roman" w:cs="Times New Roman"/>
          <w:sz w:val="24"/>
          <w:szCs w:val="24"/>
        </w:rPr>
        <w:t>obligacji</w:t>
      </w:r>
    </w:p>
    <w:p w:rsidR="002D1FD0" w:rsidRPr="002D1FD0" w:rsidRDefault="002D1FD0" w:rsidP="003D3571">
      <w:pPr>
        <w:pStyle w:val="Body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FD0">
        <w:rPr>
          <w:rFonts w:ascii="Times New Roman" w:hAnsi="Times New Roman" w:cs="Times New Roman"/>
          <w:sz w:val="24"/>
          <w:szCs w:val="24"/>
        </w:rPr>
        <w:t>O – odsetki, w tym od długu krótkoterminowego</w:t>
      </w:r>
    </w:p>
    <w:p w:rsidR="002D1FD0" w:rsidRPr="002D1FD0" w:rsidRDefault="002D1FD0" w:rsidP="003D3571">
      <w:pPr>
        <w:pStyle w:val="Body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FD0">
        <w:rPr>
          <w:rFonts w:ascii="Times New Roman" w:hAnsi="Times New Roman" w:cs="Times New Roman"/>
          <w:sz w:val="24"/>
          <w:szCs w:val="24"/>
        </w:rPr>
        <w:t>D - dochody ogółem</w:t>
      </w:r>
    </w:p>
    <w:p w:rsidR="002D1FD0" w:rsidRPr="00CF254C" w:rsidRDefault="002D1FD0" w:rsidP="003D3571">
      <w:pPr>
        <w:ind w:firstLine="0"/>
        <w:rPr>
          <w:color w:val="000000"/>
          <w:sz w:val="24"/>
          <w:szCs w:val="24"/>
        </w:rPr>
      </w:pPr>
      <w:r w:rsidRPr="00CF254C">
        <w:rPr>
          <w:color w:val="000000"/>
          <w:sz w:val="24"/>
          <w:szCs w:val="24"/>
        </w:rPr>
        <w:t>Db – dochody bieżące</w:t>
      </w:r>
    </w:p>
    <w:p w:rsidR="002D1FD0" w:rsidRPr="00CF254C" w:rsidRDefault="002D1FD0" w:rsidP="003D3571">
      <w:pPr>
        <w:ind w:firstLine="0"/>
        <w:rPr>
          <w:color w:val="000000"/>
          <w:sz w:val="24"/>
          <w:szCs w:val="24"/>
        </w:rPr>
      </w:pPr>
      <w:r w:rsidRPr="00CF254C">
        <w:rPr>
          <w:color w:val="000000"/>
          <w:sz w:val="24"/>
          <w:szCs w:val="24"/>
        </w:rPr>
        <w:t>Sm – sprzedaż majątku</w:t>
      </w:r>
    </w:p>
    <w:p w:rsidR="002D1FD0" w:rsidRPr="00CF254C" w:rsidRDefault="002D1FD0" w:rsidP="003D3571">
      <w:pPr>
        <w:ind w:firstLine="0"/>
        <w:rPr>
          <w:color w:val="000000"/>
          <w:sz w:val="24"/>
          <w:szCs w:val="24"/>
        </w:rPr>
      </w:pPr>
      <w:proofErr w:type="spellStart"/>
      <w:r w:rsidRPr="00CF254C">
        <w:rPr>
          <w:color w:val="000000"/>
          <w:sz w:val="24"/>
          <w:szCs w:val="24"/>
        </w:rPr>
        <w:t>Wb</w:t>
      </w:r>
      <w:proofErr w:type="spellEnd"/>
      <w:r w:rsidRPr="00CF254C">
        <w:rPr>
          <w:color w:val="000000"/>
          <w:sz w:val="24"/>
          <w:szCs w:val="24"/>
        </w:rPr>
        <w:t xml:space="preserve"> – wydatki bieżące</w:t>
      </w:r>
    </w:p>
    <w:p w:rsidR="002D1FD0" w:rsidRPr="002D1FD0" w:rsidRDefault="002D1FD0" w:rsidP="003D3571">
      <w:pPr>
        <w:ind w:firstLine="0"/>
        <w:rPr>
          <w:sz w:val="24"/>
          <w:szCs w:val="24"/>
        </w:rPr>
      </w:pPr>
      <w:r w:rsidRPr="00CF254C">
        <w:rPr>
          <w:color w:val="000000"/>
          <w:sz w:val="24"/>
          <w:szCs w:val="24"/>
        </w:rPr>
        <w:t>D – dochody ogółem</w:t>
      </w:r>
    </w:p>
    <w:p w:rsidR="00273024" w:rsidRDefault="00273024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5B21" w:rsidRPr="00D15B21" w:rsidRDefault="00D15B21" w:rsidP="003D3571">
      <w:pPr>
        <w:pStyle w:val="Bodytek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3D2E" w:rsidRPr="003D3571" w:rsidRDefault="00D83D2E" w:rsidP="003D3571">
      <w:pPr>
        <w:pStyle w:val="Bodytekst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D3571">
        <w:rPr>
          <w:rFonts w:ascii="Times New Roman" w:hAnsi="Times New Roman" w:cs="Times New Roman"/>
          <w:i/>
          <w:sz w:val="24"/>
          <w:szCs w:val="24"/>
        </w:rPr>
        <w:t>Goleniów, dnia 1</w:t>
      </w:r>
      <w:r w:rsidR="00666723">
        <w:rPr>
          <w:rFonts w:ascii="Times New Roman" w:hAnsi="Times New Roman" w:cs="Times New Roman"/>
          <w:i/>
          <w:sz w:val="24"/>
          <w:szCs w:val="24"/>
        </w:rPr>
        <w:t>2</w:t>
      </w:r>
      <w:r w:rsidR="003D3571" w:rsidRPr="003D3571">
        <w:rPr>
          <w:rFonts w:ascii="Times New Roman" w:hAnsi="Times New Roman" w:cs="Times New Roman"/>
          <w:i/>
          <w:sz w:val="24"/>
          <w:szCs w:val="24"/>
        </w:rPr>
        <w:t xml:space="preserve"> listopada 201</w:t>
      </w:r>
      <w:r w:rsidR="00666723">
        <w:rPr>
          <w:rFonts w:ascii="Times New Roman" w:hAnsi="Times New Roman" w:cs="Times New Roman"/>
          <w:i/>
          <w:sz w:val="24"/>
          <w:szCs w:val="24"/>
        </w:rPr>
        <w:t>5</w:t>
      </w:r>
      <w:r w:rsidRPr="003D3571">
        <w:rPr>
          <w:rFonts w:ascii="Times New Roman" w:hAnsi="Times New Roman" w:cs="Times New Roman"/>
          <w:i/>
          <w:sz w:val="24"/>
          <w:szCs w:val="24"/>
        </w:rPr>
        <w:t xml:space="preserve"> r.</w:t>
      </w:r>
    </w:p>
    <w:p w:rsidR="00D83D2E" w:rsidRPr="003D3571" w:rsidRDefault="00D83D2E" w:rsidP="003D3571">
      <w:pPr>
        <w:pStyle w:val="Bodytekst"/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D3571">
        <w:rPr>
          <w:rFonts w:ascii="Times New Roman" w:hAnsi="Times New Roman" w:cs="Times New Roman"/>
          <w:i/>
          <w:sz w:val="24"/>
          <w:szCs w:val="24"/>
          <w:u w:val="single"/>
        </w:rPr>
        <w:t>Opracował: B. Bąk Z.</w:t>
      </w:r>
      <w:r w:rsidR="00245388" w:rsidRPr="003D357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3D3571">
        <w:rPr>
          <w:rFonts w:ascii="Times New Roman" w:hAnsi="Times New Roman" w:cs="Times New Roman"/>
          <w:i/>
          <w:sz w:val="24"/>
          <w:szCs w:val="24"/>
          <w:u w:val="single"/>
        </w:rPr>
        <w:t>Mazur</w:t>
      </w:r>
    </w:p>
    <w:p w:rsidR="00AC23C5" w:rsidRDefault="00AC23C5" w:rsidP="00BA1061">
      <w:pPr>
        <w:spacing w:line="360" w:lineRule="auto"/>
      </w:pPr>
    </w:p>
    <w:sectPr w:rsidR="00AC23C5" w:rsidSect="005C4458">
      <w:headerReference w:type="even" r:id="rId8"/>
      <w:headerReference w:type="default" r:id="rId9"/>
      <w:pgSz w:w="11906" w:h="16838" w:code="9"/>
      <w:pgMar w:top="1134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F2E" w:rsidRDefault="00407F2E">
      <w:r>
        <w:separator/>
      </w:r>
    </w:p>
  </w:endnote>
  <w:endnote w:type="continuationSeparator" w:id="0">
    <w:p w:rsidR="00407F2E" w:rsidRDefault="0040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F2E" w:rsidRDefault="00407F2E">
      <w:r>
        <w:separator/>
      </w:r>
    </w:p>
  </w:footnote>
  <w:footnote w:type="continuationSeparator" w:id="0">
    <w:p w:rsidR="00407F2E" w:rsidRDefault="00407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81" w:rsidRPr="00556680" w:rsidRDefault="00011964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>
      <w:rPr>
        <w:rStyle w:val="Numerstrony"/>
        <w:noProof/>
        <w:sz w:val="26"/>
        <w:szCs w:val="26"/>
      </w:rPr>
      <w:t>4</w:t>
    </w:r>
    <w:r w:rsidRPr="00556680">
      <w:rPr>
        <w:rStyle w:val="Numerstrony"/>
        <w:sz w:val="26"/>
        <w:szCs w:val="26"/>
      </w:rPr>
      <w:fldChar w:fldCharType="end"/>
    </w:r>
  </w:p>
  <w:p w:rsidR="00A83781" w:rsidRDefault="00407F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81" w:rsidRPr="00556680" w:rsidRDefault="00011964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 w:rsidR="00593400">
      <w:rPr>
        <w:rStyle w:val="Numerstrony"/>
        <w:noProof/>
        <w:sz w:val="26"/>
        <w:szCs w:val="26"/>
      </w:rPr>
      <w:t>4</w:t>
    </w:r>
    <w:r w:rsidRPr="00556680">
      <w:rPr>
        <w:rStyle w:val="Numerstrony"/>
        <w:sz w:val="26"/>
        <w:szCs w:val="26"/>
      </w:rPr>
      <w:fldChar w:fldCharType="end"/>
    </w:r>
  </w:p>
  <w:p w:rsidR="00A83781" w:rsidRDefault="00407F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82A49"/>
    <w:multiLevelType w:val="hybridMultilevel"/>
    <w:tmpl w:val="E068A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13087"/>
    <w:multiLevelType w:val="hybridMultilevel"/>
    <w:tmpl w:val="AC663A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B012C"/>
    <w:multiLevelType w:val="hybridMultilevel"/>
    <w:tmpl w:val="507E50C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C77A1B"/>
    <w:multiLevelType w:val="hybridMultilevel"/>
    <w:tmpl w:val="6E04274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2E"/>
    <w:rsid w:val="00011964"/>
    <w:rsid w:val="00034EB8"/>
    <w:rsid w:val="000B3AAF"/>
    <w:rsid w:val="000C7D41"/>
    <w:rsid w:val="00120B8F"/>
    <w:rsid w:val="001F0674"/>
    <w:rsid w:val="0024397A"/>
    <w:rsid w:val="00245388"/>
    <w:rsid w:val="00261DD2"/>
    <w:rsid w:val="00273024"/>
    <w:rsid w:val="002806BF"/>
    <w:rsid w:val="0028107A"/>
    <w:rsid w:val="002A2D67"/>
    <w:rsid w:val="002D1FD0"/>
    <w:rsid w:val="00357ADA"/>
    <w:rsid w:val="00392742"/>
    <w:rsid w:val="0039426B"/>
    <w:rsid w:val="003D3571"/>
    <w:rsid w:val="003F5C25"/>
    <w:rsid w:val="00407F2E"/>
    <w:rsid w:val="00417E23"/>
    <w:rsid w:val="00437EC6"/>
    <w:rsid w:val="004422C0"/>
    <w:rsid w:val="004A45B0"/>
    <w:rsid w:val="004F73DF"/>
    <w:rsid w:val="0050252E"/>
    <w:rsid w:val="00593400"/>
    <w:rsid w:val="005E348D"/>
    <w:rsid w:val="005F697D"/>
    <w:rsid w:val="00621AF2"/>
    <w:rsid w:val="00626B35"/>
    <w:rsid w:val="00647D16"/>
    <w:rsid w:val="0065718F"/>
    <w:rsid w:val="00666723"/>
    <w:rsid w:val="0068066A"/>
    <w:rsid w:val="006D74AD"/>
    <w:rsid w:val="00765045"/>
    <w:rsid w:val="007802D6"/>
    <w:rsid w:val="007B0A29"/>
    <w:rsid w:val="007D03EA"/>
    <w:rsid w:val="008121B8"/>
    <w:rsid w:val="00823E6B"/>
    <w:rsid w:val="00883178"/>
    <w:rsid w:val="008B7101"/>
    <w:rsid w:val="008F5652"/>
    <w:rsid w:val="008F730B"/>
    <w:rsid w:val="009056C3"/>
    <w:rsid w:val="00915BEC"/>
    <w:rsid w:val="0092682B"/>
    <w:rsid w:val="00956080"/>
    <w:rsid w:val="009C15E5"/>
    <w:rsid w:val="00A278FC"/>
    <w:rsid w:val="00AA01AE"/>
    <w:rsid w:val="00AA2E8A"/>
    <w:rsid w:val="00AC23C5"/>
    <w:rsid w:val="00AE1FC0"/>
    <w:rsid w:val="00AF15F6"/>
    <w:rsid w:val="00B36181"/>
    <w:rsid w:val="00BA1061"/>
    <w:rsid w:val="00BA4749"/>
    <w:rsid w:val="00C4699A"/>
    <w:rsid w:val="00C63126"/>
    <w:rsid w:val="00C71274"/>
    <w:rsid w:val="00CB0586"/>
    <w:rsid w:val="00CC5B0C"/>
    <w:rsid w:val="00CF254C"/>
    <w:rsid w:val="00CF4154"/>
    <w:rsid w:val="00CF7B43"/>
    <w:rsid w:val="00D15B21"/>
    <w:rsid w:val="00D72862"/>
    <w:rsid w:val="00D83D2E"/>
    <w:rsid w:val="00DA0B0E"/>
    <w:rsid w:val="00DB13DF"/>
    <w:rsid w:val="00DD50D1"/>
    <w:rsid w:val="00DD79AC"/>
    <w:rsid w:val="00E1576E"/>
    <w:rsid w:val="00E2573C"/>
    <w:rsid w:val="00E517CE"/>
    <w:rsid w:val="00E563B9"/>
    <w:rsid w:val="00F23310"/>
    <w:rsid w:val="00F24EBE"/>
    <w:rsid w:val="00F679BB"/>
    <w:rsid w:val="00F856E9"/>
    <w:rsid w:val="00FB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250CB-280A-4BDE-A180-98A66A84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274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83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3D2E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umerstrony">
    <w:name w:val="page number"/>
    <w:basedOn w:val="Domylnaczcionkaakapitu"/>
    <w:rsid w:val="00D83D2E"/>
  </w:style>
  <w:style w:type="paragraph" w:styleId="Akapitzlist">
    <w:name w:val="List Paragraph"/>
    <w:basedOn w:val="Normalny"/>
    <w:uiPriority w:val="34"/>
    <w:qFormat/>
    <w:rsid w:val="00D83D2E"/>
    <w:pPr>
      <w:ind w:left="720"/>
      <w:contextualSpacing/>
    </w:pPr>
  </w:style>
  <w:style w:type="paragraph" w:customStyle="1" w:styleId="Bodytekst">
    <w:name w:val="Body tekst"/>
    <w:basedOn w:val="Normalny"/>
    <w:next w:val="Normalny"/>
    <w:uiPriority w:val="99"/>
    <w:rsid w:val="00D83D2E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ind w:firstLine="0"/>
      <w:jc w:val="both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Bodytekst"/>
    <w:uiPriority w:val="99"/>
    <w:rsid w:val="00D83D2E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D83D2E"/>
    <w:rPr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B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73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9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F7BD-EE79-4F47-AD49-64DF253D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a.ostrowska</cp:lastModifiedBy>
  <cp:revision>2</cp:revision>
  <cp:lastPrinted>2014-11-13T11:16:00Z</cp:lastPrinted>
  <dcterms:created xsi:type="dcterms:W3CDTF">2015-12-02T11:58:00Z</dcterms:created>
  <dcterms:modified xsi:type="dcterms:W3CDTF">2015-12-02T11:58:00Z</dcterms:modified>
</cp:coreProperties>
</file>